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D7D4C">
      <w:pPr>
        <w:adjustRightInd w:val="0"/>
        <w:snapToGrid w:val="0"/>
        <w:spacing w:line="360" w:lineRule="auto"/>
        <w:jc w:val="center"/>
        <w:rPr>
          <w:rFonts w:hint="eastAsia" w:asciiTheme="minorEastAsia" w:hAnsiTheme="minorEastAsia" w:eastAsiaTheme="minorEastAsia"/>
          <w:snapToGrid w:val="0"/>
          <w:color w:val="000000" w:themeColor="text1"/>
          <w:kern w:val="0"/>
          <w:sz w:val="52"/>
          <w:szCs w:val="52"/>
          <w14:textFill>
            <w14:solidFill>
              <w14:schemeClr w14:val="tx1"/>
            </w14:solidFill>
          </w14:textFill>
        </w:rPr>
      </w:pPr>
    </w:p>
    <w:p w14:paraId="6E4B5025">
      <w:pPr>
        <w:pStyle w:val="2"/>
        <w:rPr>
          <w:rFonts w:hint="eastAsia"/>
        </w:rPr>
      </w:pPr>
    </w:p>
    <w:p w14:paraId="24E84942">
      <w:pPr>
        <w:keepNext w:val="0"/>
        <w:keepLines w:val="0"/>
        <w:pageBreakBefore w:val="0"/>
        <w:widowControl w:val="0"/>
        <w:kinsoku/>
        <w:wordWrap/>
        <w:overflowPunct/>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snapToGrid w:val="0"/>
          <w:color w:val="000000" w:themeColor="text1"/>
          <w:kern w:val="0"/>
          <w:sz w:val="52"/>
          <w:szCs w:val="52"/>
          <w14:textFill>
            <w14:solidFill>
              <w14:schemeClr w14:val="tx1"/>
            </w14:solidFill>
          </w14:textFill>
        </w:rPr>
      </w:pPr>
      <w:r>
        <w:rPr>
          <w:rFonts w:hint="eastAsia" w:ascii="方正小标宋_GBK" w:hAnsi="方正小标宋_GBK" w:eastAsia="方正小标宋_GBK" w:cs="方正小标宋_GBK"/>
          <w:snapToGrid w:val="0"/>
          <w:color w:val="000000" w:themeColor="text1"/>
          <w:kern w:val="0"/>
          <w:sz w:val="52"/>
          <w:szCs w:val="52"/>
          <w14:textFill>
            <w14:solidFill>
              <w14:schemeClr w14:val="tx1"/>
            </w14:solidFill>
          </w14:textFill>
        </w:rPr>
        <w:t>广西防震减灾“十五五”规划</w:t>
      </w:r>
    </w:p>
    <w:p w14:paraId="6B8273F1">
      <w:pPr>
        <w:adjustRightInd w:val="0"/>
        <w:snapToGrid w:val="0"/>
        <w:spacing w:line="360" w:lineRule="auto"/>
        <w:jc w:val="center"/>
        <w:rPr>
          <w:rFonts w:hint="eastAsia" w:ascii="方正楷体_GBK" w:hAnsi="方正楷体_GBK" w:eastAsia="方正楷体_GBK" w:cs="方正楷体_GBK"/>
          <w:snapToGrid w:val="0"/>
          <w:color w:val="000000" w:themeColor="text1"/>
          <w:kern w:val="0"/>
          <w:sz w:val="36"/>
          <w:szCs w:val="36"/>
          <w14:textFill>
            <w14:solidFill>
              <w14:schemeClr w14:val="tx1"/>
            </w14:solidFill>
          </w14:textFill>
        </w:rPr>
      </w:pPr>
      <w:r>
        <w:rPr>
          <w:rFonts w:hint="eastAsia" w:ascii="方正楷体_GBK" w:hAnsi="方正楷体_GBK" w:eastAsia="方正楷体_GBK" w:cs="方正楷体_GBK"/>
          <w:snapToGrid w:val="0"/>
          <w:color w:val="000000" w:themeColor="text1"/>
          <w:kern w:val="0"/>
          <w:sz w:val="36"/>
          <w:szCs w:val="36"/>
          <w14:textFill>
            <w14:solidFill>
              <w14:schemeClr w14:val="tx1"/>
            </w14:solidFill>
          </w14:textFill>
        </w:rPr>
        <w:t>（征求意见稿）</w:t>
      </w:r>
    </w:p>
    <w:p w14:paraId="0C4B17A2">
      <w:pPr>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14:textFill>
            <w14:solidFill>
              <w14:schemeClr w14:val="tx1"/>
            </w14:solidFill>
          </w14:textFill>
        </w:rPr>
      </w:pPr>
    </w:p>
    <w:p w14:paraId="54AF78AE">
      <w:pPr>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14:textFill>
            <w14:solidFill>
              <w14:schemeClr w14:val="tx1"/>
            </w14:solidFill>
          </w14:textFill>
        </w:rPr>
      </w:pPr>
    </w:p>
    <w:p w14:paraId="5F3BC882">
      <w:pPr>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14:textFill>
            <w14:solidFill>
              <w14:schemeClr w14:val="tx1"/>
            </w14:solidFill>
          </w14:textFill>
        </w:rPr>
      </w:pPr>
    </w:p>
    <w:p w14:paraId="79BD37CE">
      <w:pPr>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14:textFill>
            <w14:solidFill>
              <w14:schemeClr w14:val="tx1"/>
            </w14:solidFill>
          </w14:textFill>
        </w:rPr>
      </w:pPr>
    </w:p>
    <w:p w14:paraId="6010A2C0">
      <w:pPr>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14:textFill>
            <w14:solidFill>
              <w14:schemeClr w14:val="tx1"/>
            </w14:solidFill>
          </w14:textFill>
        </w:rPr>
      </w:pPr>
    </w:p>
    <w:p w14:paraId="6F712954">
      <w:pPr>
        <w:adjustRightInd w:val="0"/>
        <w:snapToGrid w:val="0"/>
        <w:spacing w:line="360" w:lineRule="auto"/>
        <w:ind w:firstLine="420" w:firstLineChars="200"/>
        <w:rPr>
          <w:rFonts w:hint="eastAsia" w:asciiTheme="minorEastAsia" w:hAnsiTheme="minorEastAsia" w:eastAsiaTheme="minorEastAsia"/>
          <w:snapToGrid w:val="0"/>
          <w:color w:val="000000" w:themeColor="text1"/>
          <w:kern w:val="0"/>
          <w14:textFill>
            <w14:solidFill>
              <w14:schemeClr w14:val="tx1"/>
            </w14:solidFill>
          </w14:textFill>
        </w:rPr>
      </w:pPr>
    </w:p>
    <w:p w14:paraId="2BECCA96">
      <w:pPr>
        <w:pStyle w:val="2"/>
        <w:spacing w:line="360" w:lineRule="auto"/>
        <w:rPr>
          <w:rFonts w:hint="eastAsia" w:asciiTheme="minorEastAsia" w:hAnsiTheme="minorEastAsia" w:eastAsiaTheme="minorEastAsia"/>
          <w:snapToGrid w:val="0"/>
          <w:color w:val="000000" w:themeColor="text1"/>
          <w:sz w:val="32"/>
          <w:szCs w:val="32"/>
          <w14:textFill>
            <w14:solidFill>
              <w14:schemeClr w14:val="tx1"/>
            </w14:solidFill>
          </w14:textFill>
        </w:rPr>
      </w:pPr>
    </w:p>
    <w:p w14:paraId="1161C2AE">
      <w:pPr>
        <w:pStyle w:val="2"/>
        <w:spacing w:line="360" w:lineRule="auto"/>
        <w:rPr>
          <w:rFonts w:hint="eastAsia" w:asciiTheme="minorEastAsia" w:hAnsiTheme="minorEastAsia" w:eastAsiaTheme="minorEastAsia"/>
          <w:snapToGrid w:val="0"/>
          <w:color w:val="000000" w:themeColor="text1"/>
          <w:sz w:val="32"/>
          <w:szCs w:val="32"/>
          <w14:textFill>
            <w14:solidFill>
              <w14:schemeClr w14:val="tx1"/>
            </w14:solidFill>
          </w14:textFill>
        </w:rPr>
      </w:pPr>
    </w:p>
    <w:p w14:paraId="316089F0">
      <w:pPr>
        <w:pStyle w:val="2"/>
        <w:spacing w:line="360" w:lineRule="auto"/>
        <w:rPr>
          <w:rFonts w:hint="eastAsia" w:asciiTheme="minorEastAsia" w:hAnsiTheme="minorEastAsia" w:eastAsiaTheme="minorEastAsia"/>
          <w:snapToGrid w:val="0"/>
          <w:color w:val="000000" w:themeColor="text1"/>
          <w:sz w:val="32"/>
          <w:szCs w:val="32"/>
          <w14:textFill>
            <w14:solidFill>
              <w14:schemeClr w14:val="tx1"/>
            </w14:solidFill>
          </w14:textFill>
        </w:rPr>
      </w:pPr>
    </w:p>
    <w:p w14:paraId="7E1F6A4B">
      <w:pPr>
        <w:adjustRightInd w:val="0"/>
        <w:snapToGrid w:val="0"/>
        <w:spacing w:line="360" w:lineRule="auto"/>
        <w:jc w:val="center"/>
        <w:rPr>
          <w:rFonts w:hint="eastAsia" w:ascii="方正黑体_GBK" w:hAnsi="方正黑体_GBK" w:eastAsia="方正黑体_GBK" w:cs="方正黑体_GBK"/>
          <w:snapToGrid w:val="0"/>
          <w:color w:val="000000" w:themeColor="text1"/>
          <w:kern w:val="0"/>
          <w:sz w:val="32"/>
          <w:szCs w:val="32"/>
          <w14:textFill>
            <w14:solidFill>
              <w14:schemeClr w14:val="tx1"/>
            </w14:solidFill>
          </w14:textFill>
        </w:rPr>
        <w:sectPr>
          <w:footerReference r:id="rId5" w:type="default"/>
          <w:pgSz w:w="11906" w:h="16838"/>
          <w:pgMar w:top="2098" w:right="1474" w:bottom="1984" w:left="1587" w:header="851" w:footer="1276" w:gutter="0"/>
          <w:pgNumType w:fmt="decimal"/>
          <w:cols w:space="0" w:num="1"/>
          <w:rtlGutter w:val="0"/>
          <w:docGrid w:type="linesAndChars" w:linePitch="579" w:charSpace="0"/>
        </w:sectPr>
      </w:pPr>
      <w:r>
        <w:rPr>
          <w:rFonts w:hint="eastAsia" w:ascii="方正黑体_GBK" w:hAnsi="方正黑体_GBK" w:eastAsia="方正黑体_GBK" w:cs="方正黑体_GBK"/>
          <w:snapToGrid w:val="0"/>
          <w:color w:val="000000" w:themeColor="text1"/>
          <w:kern w:val="0"/>
          <w:sz w:val="32"/>
          <w:szCs w:val="32"/>
          <w14:textFill>
            <w14:solidFill>
              <w14:schemeClr w14:val="tx1"/>
            </w14:solidFill>
          </w14:textFill>
        </w:rPr>
        <w:t>2026年6月</w:t>
      </w:r>
    </w:p>
    <w:sdt>
      <w:sdtPr>
        <w:rPr>
          <w:rFonts w:cs="Times New Roman" w:asciiTheme="minorEastAsia" w:hAnsiTheme="minorEastAsia" w:eastAsiaTheme="minorEastAsia"/>
          <w:color w:val="000000" w:themeColor="text1"/>
          <w:kern w:val="2"/>
          <w:lang w:val="zh-CN"/>
          <w14:textFill>
            <w14:solidFill>
              <w14:schemeClr w14:val="tx1"/>
            </w14:solidFill>
          </w14:textFill>
        </w:rPr>
        <w:id w:val="1474090794"/>
        <w:docPartObj>
          <w:docPartGallery w:val="Table of Contents"/>
          <w:docPartUnique/>
        </w:docPartObj>
      </w:sdtPr>
      <w:sdtEndPr>
        <w:rPr>
          <w:rFonts w:hint="eastAsia" w:ascii="仿宋_GB2312" w:hAnsi="仿宋_GB2312" w:eastAsia="仿宋_GB2312" w:cs="仿宋_GB2312"/>
          <w:b/>
          <w:bCs/>
          <w:color w:val="000000" w:themeColor="text1"/>
          <w:kern w:val="2"/>
          <w:sz w:val="28"/>
          <w:szCs w:val="28"/>
          <w:lang w:val="zh-CN"/>
          <w14:textFill>
            <w14:solidFill>
              <w14:schemeClr w14:val="tx1"/>
            </w14:solidFill>
          </w14:textFill>
        </w:rPr>
      </w:sdtEndPr>
      <w:sdtContent>
        <w:p w14:paraId="71622C57">
          <w:pPr>
            <w:pStyle w:val="13"/>
            <w:jc w:val="center"/>
            <w:rPr>
              <w:rFonts w:hint="eastAsia" w:ascii="方正小标宋_GBK" w:hAnsi="方正小标宋_GBK" w:eastAsia="方正小标宋_GBK" w:cs="方正小标宋_GBK"/>
              <w:color w:val="000000" w:themeColor="text1"/>
              <w:sz w:val="36"/>
              <w:szCs w:val="36"/>
              <w14:textFill>
                <w14:solidFill>
                  <w14:schemeClr w14:val="tx1"/>
                </w14:solidFill>
              </w14:textFill>
            </w:rPr>
          </w:pPr>
          <w:bookmarkStart w:id="0" w:name="_Toc20347"/>
          <w:r>
            <w:rPr>
              <w:rFonts w:hint="eastAsia" w:ascii="方正小标宋_GBK" w:hAnsi="方正小标宋_GBK" w:eastAsia="方正小标宋_GBK" w:cs="方正小标宋_GBK"/>
              <w:color w:val="000000" w:themeColor="text1"/>
              <w:sz w:val="36"/>
              <w:szCs w:val="36"/>
              <w:lang w:val="zh-CN"/>
              <w14:textFill>
                <w14:solidFill>
                  <w14:schemeClr w14:val="tx1"/>
                </w14:solidFill>
              </w14:textFill>
            </w:rPr>
            <w:t>目</w:t>
          </w:r>
          <w:r>
            <w:rPr>
              <w:rFonts w:hint="eastAsia" w:ascii="方正小标宋_GBK" w:hAnsi="方正小标宋_GBK" w:eastAsia="方正小标宋_GBK" w:cs="方正小标宋_GBK"/>
              <w:color w:val="000000" w:themeColor="text1"/>
              <w:sz w:val="36"/>
              <w:szCs w:val="36"/>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lang w:val="zh-CN"/>
              <w14:textFill>
                <w14:solidFill>
                  <w14:schemeClr w14:val="tx1"/>
                </w14:solidFill>
              </w14:textFill>
            </w:rPr>
            <w:t>录</w:t>
          </w:r>
        </w:p>
        <w:p w14:paraId="6910FD0A">
          <w:pPr>
            <w:pStyle w:val="6"/>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TOC \o "1-3" \h \z \u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"_Toc221202138"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第一章  发展环境</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_Toc221202138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7D6A35A4">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"_Toc221202139"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一、发展成就</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_Toc221202139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BD08FED">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"_Toc221202140"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二、面临形势</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_Toc221202140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CD86806">
          <w:pPr>
            <w:pStyle w:val="6"/>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"_Toc221202141"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第二章  指导思想和发展目标</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_Toc221202141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7A2E7607">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"_Toc221202142"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一、指导思想</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_Toc221202142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EC7EA32">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"_Toc221202144"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二</w:t>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、发展目标</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_Toc221202144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4</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428B634">
          <w:pPr>
            <w:pStyle w:val="6"/>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"_Toc221202145"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第三章  主要任务</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_Toc221202145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1844CEDE">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"_Toc221202146"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一、提高地震监测预报预警效能</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_Toc221202146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A605036">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"_Toc221202151"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二、有效防范化解地震灾害风险</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_Toc221202151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7</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26623B04">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"_Toc221202155"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三、</w:t>
          </w:r>
          <w:r>
            <w:rPr>
              <w:rStyle w:val="12"/>
              <w:rFonts w:hint="eastAsia" w:ascii="仿宋_GB2312" w:hAnsi="仿宋_GB2312" w:eastAsia="仿宋_GB2312" w:cs="仿宋_GB2312"/>
              <w:b w:val="0"/>
              <w:bCs/>
              <w:color w:val="000000" w:themeColor="text1"/>
              <w:sz w:val="28"/>
              <w:szCs w:val="28"/>
              <w14:textFill>
                <w14:solidFill>
                  <w14:schemeClr w14:val="tx1"/>
                </w14:solidFill>
              </w14:textFill>
            </w:rPr>
            <w:t>切实强化地震灾害应对准备</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_Toc221202155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8</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5D5C4282">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"_Toc221202159"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四、加快完善防震减灾社会治理</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_Toc221202159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9</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14FDF475">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"_Toc221202163"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五、强化地震科技创新与数智赋能</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_Toc221202163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9</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42B423D">
          <w:pPr>
            <w:pStyle w:val="6"/>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"_Toc221202167"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第四章  重点项目</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_Toc221202167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10</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3C4BE7C2">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"_Toc221202168"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一、中国—东盟地震监测预警中心及防震减灾实训基地</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_Toc221202168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11</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50FA6A76">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"_Toc221202172"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二、地震风险探查监测感知工程</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_Toc221202172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13</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3671FC9E">
          <w:pPr>
            <w:pStyle w:val="6"/>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"_Toc221202175"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第五章  实施保障</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_Toc221202175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14</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EFF64F7">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"_Toc221202176"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一、加强组织落实</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_Toc221202176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14</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067AE7ED">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"_Toc221202177"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二、完善投入机制</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_Toc221202177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14</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579D0FD8">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"_Toc221202178"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三、强化人才支撑</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_Toc221202178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15</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3485F11E">
          <w:pPr>
            <w:pStyle w:val="7"/>
            <w:keepNext w:val="0"/>
            <w:keepLines w:val="0"/>
            <w:pageBreakBefore w:val="0"/>
            <w:tabs>
              <w:tab w:val="right" w:leader="dot" w:pos="8608"/>
            </w:tabs>
            <w:kinsoku/>
            <w:wordWrap/>
            <w:overflowPunct/>
            <w:topLinePunct w:val="0"/>
            <w:autoSpaceDE/>
            <w:autoSpaceDN/>
            <w:bidi w:val="0"/>
            <w:adjustRightInd/>
            <w:snapToGrid/>
            <w:spacing w:after="0" w:line="480" w:lineRule="exact"/>
            <w:textAlignment w:val="auto"/>
            <w:outlineLvl w:val="9"/>
            <w:rPr>
              <w:rFonts w:hint="eastAsia" w:ascii="仿宋_GB2312" w:hAnsi="仿宋_GB2312" w:eastAsia="仿宋_GB2312" w:cs="仿宋_GB2312"/>
              <w:color w:val="000000" w:themeColor="text1"/>
              <w:kern w:val="2"/>
              <w:sz w:val="28"/>
              <w:szCs w:val="28"/>
              <w14:textFill>
                <w14:solidFill>
                  <w14:schemeClr w14:val="tx1"/>
                </w14:solidFill>
              </w14:textFill>
              <w14:ligatures w14:val="standardContextual"/>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"_Toc221202179" </w:instrText>
          </w:r>
          <w:r>
            <w:rPr>
              <w:rFonts w:hint="eastAsia" w:ascii="仿宋_GB2312" w:hAnsi="仿宋_GB2312" w:eastAsia="仿宋_GB2312" w:cs="仿宋_GB2312"/>
              <w:sz w:val="28"/>
              <w:szCs w:val="28"/>
            </w:rPr>
            <w:fldChar w:fldCharType="separate"/>
          </w:r>
          <w:r>
            <w:rPr>
              <w:rStyle w:val="12"/>
              <w:rFonts w:hint="eastAsia" w:ascii="仿宋_GB2312" w:hAnsi="仿宋_GB2312" w:eastAsia="仿宋_GB2312" w:cs="仿宋_GB2312"/>
              <w:color w:val="000000" w:themeColor="text1"/>
              <w:sz w:val="28"/>
              <w:szCs w:val="28"/>
              <w:lang w:bidi="ar"/>
              <w14:textFill>
                <w14:solidFill>
                  <w14:schemeClr w14:val="tx1"/>
                </w14:solidFill>
              </w14:textFill>
            </w:rPr>
            <w:t>四、建立评估制度</w:t>
          </w:r>
          <w:r>
            <w:rPr>
              <w:rFonts w:hint="eastAsia" w:ascii="仿宋_GB2312" w:hAnsi="仿宋_GB2312" w:eastAsia="仿宋_GB2312" w:cs="仿宋_GB2312"/>
              <w:color w:val="000000" w:themeColor="text1"/>
              <w:sz w:val="28"/>
              <w:szCs w:val="28"/>
              <w14:textFill>
                <w14:solidFill>
                  <w14:schemeClr w14:val="tx1"/>
                </w14:solidFill>
              </w14:textFill>
            </w:rPr>
            <w:tab/>
          </w:r>
          <w:r>
            <w:rPr>
              <w:rFonts w:hint="eastAsia" w:ascii="仿宋_GB2312" w:hAnsi="仿宋_GB2312" w:eastAsia="仿宋_GB2312" w:cs="仿宋_GB2312"/>
              <w:color w:val="000000" w:themeColor="text1"/>
              <w:sz w:val="28"/>
              <w:szCs w:val="28"/>
              <w14:textFill>
                <w14:solidFill>
                  <w14:schemeClr w14:val="tx1"/>
                </w14:solidFill>
              </w14:textFill>
            </w:rPr>
            <w:fldChar w:fldCharType="begin"/>
          </w:r>
          <w:r>
            <w:rPr>
              <w:rFonts w:hint="eastAsia" w:ascii="仿宋_GB2312" w:hAnsi="仿宋_GB2312" w:eastAsia="仿宋_GB2312" w:cs="仿宋_GB2312"/>
              <w:color w:val="000000" w:themeColor="text1"/>
              <w:sz w:val="28"/>
              <w:szCs w:val="28"/>
              <w14:textFill>
                <w14:solidFill>
                  <w14:schemeClr w14:val="tx1"/>
                </w14:solidFill>
              </w14:textFill>
            </w:rPr>
            <w:instrText xml:space="preserve"> PAGEREF _Toc221202179 \h </w:instrText>
          </w:r>
          <w:r>
            <w:rPr>
              <w:rFonts w:hint="eastAsia" w:ascii="仿宋_GB2312" w:hAnsi="仿宋_GB2312" w:eastAsia="仿宋_GB2312" w:cs="仿宋_GB2312"/>
              <w:color w:val="000000" w:themeColor="text1"/>
              <w:sz w:val="28"/>
              <w:szCs w:val="28"/>
              <w14:textFill>
                <w14:solidFill>
                  <w14:schemeClr w14:val="tx1"/>
                </w14:solidFill>
              </w14:textFill>
            </w:rPr>
            <w:fldChar w:fldCharType="separate"/>
          </w:r>
          <w:r>
            <w:rPr>
              <w:rFonts w:hint="eastAsia" w:ascii="仿宋_GB2312" w:hAnsi="仿宋_GB2312" w:eastAsia="仿宋_GB2312" w:cs="仿宋_GB2312"/>
              <w:color w:val="000000" w:themeColor="text1"/>
              <w:sz w:val="28"/>
              <w:szCs w:val="28"/>
              <w14:textFill>
                <w14:solidFill>
                  <w14:schemeClr w14:val="tx1"/>
                </w14:solidFill>
              </w14:textFill>
            </w:rPr>
            <w:t>15</w:t>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r>
            <w:rPr>
              <w:rFonts w:hint="eastAsia" w:ascii="仿宋_GB2312" w:hAnsi="仿宋_GB2312" w:eastAsia="仿宋_GB2312" w:cs="仿宋_GB2312"/>
              <w:color w:val="000000" w:themeColor="text1"/>
              <w:sz w:val="28"/>
              <w:szCs w:val="28"/>
              <w14:textFill>
                <w14:solidFill>
                  <w14:schemeClr w14:val="tx1"/>
                </w14:solidFill>
              </w14:textFill>
            </w:rPr>
            <w:fldChar w:fldCharType="end"/>
          </w:r>
        </w:p>
        <w:p w14:paraId="4825F679">
          <w:pPr>
            <w:keepNext w:val="0"/>
            <w:keepLines w:val="0"/>
            <w:pageBreakBefore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lang w:val="zh-CN"/>
              <w14:textFill>
                <w14:solidFill>
                  <w14:schemeClr w14:val="tx1"/>
                </w14:solidFill>
              </w14:textFill>
            </w:rPr>
            <w:fldChar w:fldCharType="end"/>
          </w:r>
        </w:p>
      </w:sdtContent>
    </w:sdt>
    <w:p w14:paraId="24262494">
      <w:pPr>
        <w:pStyle w:val="14"/>
        <w:tabs>
          <w:tab w:val="center" w:pos="4309"/>
        </w:tabs>
        <w:spacing w:before="0" w:line="360" w:lineRule="auto"/>
        <w:ind w:left="-210" w:leftChars="-100" w:right="210" w:rightChars="100"/>
        <w:jc w:val="both"/>
        <w:outlineLvl w:val="0"/>
        <w:rPr>
          <w:rFonts w:hint="eastAsia" w:asciiTheme="minorEastAsia" w:hAnsiTheme="minorEastAsia" w:eastAsiaTheme="minorEastAsia"/>
          <w:color w:val="000000" w:themeColor="text1"/>
          <w:kern w:val="2"/>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fldChar w:fldCharType="begin"/>
      </w:r>
      <w:r>
        <w:rPr>
          <w:rFonts w:hint="eastAsia" w:asciiTheme="minorEastAsia" w:hAnsiTheme="minorEastAsia" w:eastAsiaTheme="minorEastAsia"/>
          <w:color w:val="000000" w:themeColor="text1"/>
          <w14:textFill>
            <w14:solidFill>
              <w14:schemeClr w14:val="tx1"/>
            </w14:solidFill>
          </w14:textFill>
        </w:rPr>
        <w:instrText xml:space="preserve"> TOC \o "1-3" \h \z \u </w:instrText>
      </w:r>
      <w:r>
        <w:rPr>
          <w:rFonts w:asciiTheme="minorEastAsia" w:hAnsiTheme="minorEastAsia" w:eastAsiaTheme="minorEastAsia"/>
          <w:color w:val="000000" w:themeColor="text1"/>
          <w14:textFill>
            <w14:solidFill>
              <w14:schemeClr w14:val="tx1"/>
            </w14:solidFill>
          </w14:textFill>
        </w:rPr>
        <w:fldChar w:fldCharType="separate"/>
      </w:r>
    </w:p>
    <w:p w14:paraId="3C8AC3C1">
      <w:pPr>
        <w:spacing w:line="360" w:lineRule="auto"/>
        <w:ind w:left="-210" w:leftChars="-100" w:right="210" w:rightChars="100"/>
        <w:outlineLvl w:val="0"/>
        <w:rPr>
          <w:rFonts w:hint="eastAsia" w:asciiTheme="minorEastAsia" w:hAnsiTheme="minorEastAsia" w:eastAsiaTheme="minorEastAsia"/>
          <w:color w:val="000000" w:themeColor="text1"/>
          <w14:textFill>
            <w14:solidFill>
              <w14:schemeClr w14:val="tx1"/>
            </w14:solidFill>
          </w14:textFill>
        </w:rPr>
      </w:pPr>
      <w:r>
        <w:rPr>
          <w:rFonts w:asciiTheme="minorEastAsia" w:hAnsiTheme="minorEastAsia" w:eastAsiaTheme="minorEastAsia"/>
          <w:b/>
          <w:bCs/>
          <w:color w:val="000000" w:themeColor="text1"/>
          <w:lang w:val="zh-CN"/>
          <w14:textFill>
            <w14:solidFill>
              <w14:schemeClr w14:val="tx1"/>
            </w14:solidFill>
          </w14:textFill>
        </w:rPr>
        <w:fldChar w:fldCharType="end"/>
      </w:r>
    </w:p>
    <w:p w14:paraId="71D5504A">
      <w:pPr>
        <w:tabs>
          <w:tab w:val="right" w:leader="middleDot" w:pos="9120"/>
        </w:tabs>
        <w:spacing w:line="360" w:lineRule="auto"/>
        <w:ind w:firstLine="420" w:firstLineChars="200"/>
        <w:outlineLvl w:val="0"/>
        <w:rPr>
          <w:rFonts w:hint="eastAsia" w:asciiTheme="minorEastAsia" w:hAnsiTheme="minorEastAsia" w:eastAsiaTheme="minorEastAsia"/>
          <w:color w:val="000000" w:themeColor="text1"/>
          <w14:textFill>
            <w14:solidFill>
              <w14:schemeClr w14:val="tx1"/>
            </w14:solidFill>
          </w14:textFill>
        </w:rPr>
        <w:sectPr>
          <w:footerReference r:id="rId6" w:type="default"/>
          <w:pgSz w:w="11906" w:h="16838"/>
          <w:pgMar w:top="1440" w:right="1587" w:bottom="1440" w:left="1701" w:header="851" w:footer="992" w:gutter="0"/>
          <w:pgNumType w:fmt="decimal" w:start="1"/>
          <w:cols w:space="720" w:num="1"/>
          <w:docGrid w:type="lines" w:linePitch="312" w:charSpace="0"/>
        </w:sectPr>
      </w:pPr>
    </w:p>
    <w:p w14:paraId="638CB16D">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outlineLvl w:val="9"/>
        <w:rPr>
          <w:rFonts w:hint="eastAsia" w:ascii="方正小标宋_GBK" w:hAnsi="方正小标宋_GBK" w:eastAsia="方正小标宋_GBK" w:cs="方正小标宋_GBK"/>
          <w:color w:val="000000" w:themeColor="text1"/>
          <w:sz w:val="44"/>
          <w:szCs w:val="44"/>
          <w:lang w:bidi="ar"/>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bidi="ar"/>
          <w14:textFill>
            <w14:solidFill>
              <w14:schemeClr w14:val="tx1"/>
            </w14:solidFill>
          </w14:textFill>
        </w:rPr>
        <w:t>广西防震减灾“十五五”规划</w:t>
      </w:r>
    </w:p>
    <w:p w14:paraId="5655A61E">
      <w:pPr>
        <w:pStyle w:val="2"/>
        <w:keepNext w:val="0"/>
        <w:keepLines w:val="0"/>
        <w:pageBreakBefore w:val="0"/>
        <w:widowControl w:val="0"/>
        <w:kinsoku/>
        <w:wordWrap/>
        <w:overflowPunct/>
        <w:topLinePunct w:val="0"/>
        <w:autoSpaceDE w:val="0"/>
        <w:autoSpaceDN w:val="0"/>
        <w:bidi w:val="0"/>
        <w:adjustRightInd w:val="0"/>
        <w:snapToGrid/>
        <w:spacing w:after="0" w:line="240" w:lineRule="exact"/>
        <w:jc w:val="center"/>
        <w:textAlignment w:val="auto"/>
        <w:outlineLvl w:val="9"/>
        <w:rPr>
          <w:rFonts w:hint="eastAsia" w:ascii="方正楷体_GBK" w:hAnsi="方正楷体_GBK" w:eastAsia="方正楷体_GBK" w:cs="方正楷体_GBK"/>
          <w:color w:val="000000" w:themeColor="text1"/>
          <w:sz w:val="32"/>
          <w:szCs w:val="32"/>
          <w:lang w:bidi="ar"/>
          <w14:textFill>
            <w14:solidFill>
              <w14:schemeClr w14:val="tx1"/>
            </w14:solidFill>
          </w14:textFill>
        </w:rPr>
      </w:pPr>
    </w:p>
    <w:p w14:paraId="4ACD149F">
      <w:pPr>
        <w:pStyle w:val="2"/>
        <w:keepNext w:val="0"/>
        <w:keepLines w:val="0"/>
        <w:pageBreakBefore w:val="0"/>
        <w:widowControl w:val="0"/>
        <w:kinsoku/>
        <w:wordWrap/>
        <w:overflowPunct/>
        <w:topLinePunct w:val="0"/>
        <w:autoSpaceDE w:val="0"/>
        <w:autoSpaceDN w:val="0"/>
        <w:bidi w:val="0"/>
        <w:adjustRightInd w:val="0"/>
        <w:snapToGrid/>
        <w:spacing w:after="0" w:line="240" w:lineRule="auto"/>
        <w:jc w:val="center"/>
        <w:textAlignment w:val="auto"/>
        <w:outlineLvl w:val="9"/>
        <w:rPr>
          <w:rFonts w:hint="eastAsia" w:ascii="方正楷体_GBK" w:hAnsi="方正楷体_GBK" w:eastAsia="方正楷体_GBK" w:cs="方正楷体_GBK"/>
          <w:color w:val="000000" w:themeColor="text1"/>
          <w:sz w:val="32"/>
          <w:szCs w:val="32"/>
          <w:lang w:bidi="ar"/>
          <w14:textFill>
            <w14:solidFill>
              <w14:schemeClr w14:val="tx1"/>
            </w14:solidFill>
          </w14:textFill>
        </w:rPr>
      </w:pPr>
      <w:r>
        <w:rPr>
          <w:rFonts w:hint="eastAsia" w:ascii="方正楷体_GBK" w:hAnsi="方正楷体_GBK" w:eastAsia="方正楷体_GBK" w:cs="方正楷体_GBK"/>
          <w:color w:val="000000" w:themeColor="text1"/>
          <w:sz w:val="32"/>
          <w:szCs w:val="32"/>
          <w:lang w:bidi="ar"/>
          <w14:textFill>
            <w14:solidFill>
              <w14:schemeClr w14:val="tx1"/>
            </w14:solidFill>
          </w14:textFill>
        </w:rPr>
        <w:t>（征求意见稿）</w:t>
      </w:r>
    </w:p>
    <w:p w14:paraId="7CD3F277">
      <w:pPr>
        <w:keepNext w:val="0"/>
        <w:keepLines w:val="0"/>
        <w:pageBreakBefore w:val="0"/>
        <w:widowControl w:val="0"/>
        <w:kinsoku/>
        <w:wordWrap/>
        <w:overflowPunct/>
        <w:topLinePunct w:val="0"/>
        <w:autoSpaceDE/>
        <w:autoSpaceDN/>
        <w:bidi w:val="0"/>
        <w:adjustRightInd/>
        <w:snapToGrid/>
        <w:spacing w:after="0" w:line="240" w:lineRule="auto"/>
        <w:ind w:firstLine="420" w:firstLineChars="200"/>
        <w:textAlignment w:val="auto"/>
        <w:outlineLvl w:val="9"/>
        <w:rPr>
          <w:rFonts w:hint="eastAsia" w:ascii="仿宋_GB2312" w:hAnsi="仿宋_GB2312" w:eastAsia="仿宋_GB2312" w:cs="仿宋_GB2312"/>
          <w:sz w:val="32"/>
          <w:szCs w:val="32"/>
        </w:rPr>
      </w:pPr>
      <w:r>
        <w:rPr>
          <w:rFonts w:asciiTheme="minorEastAsia" w:hAnsiTheme="minorEastAsia" w:eastAsiaTheme="minorEastAsia"/>
          <w:color w:val="000000" w:themeColor="text1"/>
          <w:lang w:bidi="ar"/>
          <w14:textFill>
            <w14:solidFill>
              <w14:schemeClr w14:val="tx1"/>
            </w14:solidFill>
          </w14:textFill>
        </w:rPr>
        <w:t xml:space="preserve"> </w:t>
      </w:r>
    </w:p>
    <w:p w14:paraId="36236FE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震减灾是防灾减灾救灾的重要内容，也是应急管理体系的重要组成部分，事关人民群众生命财产安全，事关社会和谐稳定。为深入贯彻落实习近平总书记关于应急管理重要论述和防震减灾重要指示批示精神，统筹推进防震减灾能力建设，加快推进“十五五”时期我区防震减灾事业高质量发展，根据《中华人民共和国防震减灾法》《广西壮族自治区防震减灾条例》《“十五五”国家防震减灾规划》《广西壮族自治区国民经济和社会发展第十五个五年规划纲要》等法律法规和文件，制定本规划。</w:t>
      </w:r>
    </w:p>
    <w:p w14:paraId="4428A233">
      <w:pPr>
        <w:keepNext w:val="0"/>
        <w:keepLines w:val="0"/>
        <w:pageBreakBefore w:val="0"/>
        <w:widowControl w:val="0"/>
        <w:kinsoku/>
        <w:wordWrap/>
        <w:overflowPunct/>
        <w:topLinePunct w:val="0"/>
        <w:autoSpaceDE/>
        <w:autoSpaceDN/>
        <w:bidi w:val="0"/>
        <w:adjustRightInd/>
        <w:snapToGrid/>
        <w:spacing w:after="0" w:line="240" w:lineRule="exact"/>
        <w:ind w:firstLine="2880" w:firstLineChars="900"/>
        <w:textAlignment w:val="auto"/>
        <w:outlineLvl w:val="9"/>
        <w:rPr>
          <w:rFonts w:hint="eastAsia" w:ascii="仿宋_GB2312" w:hAnsi="仿宋_GB2312" w:eastAsia="仿宋_GB2312" w:cs="仿宋_GB2312"/>
          <w:sz w:val="32"/>
          <w:szCs w:val="32"/>
        </w:rPr>
      </w:pPr>
      <w:bookmarkStart w:id="1" w:name="_Toc199376591"/>
      <w:bookmarkStart w:id="2" w:name="_Toc206235967"/>
      <w:bookmarkStart w:id="3" w:name="_Toc221202138"/>
    </w:p>
    <w:p w14:paraId="00E8FF0E">
      <w:pPr>
        <w:keepNext w:val="0"/>
        <w:keepLines w:val="0"/>
        <w:pageBreakBefore w:val="0"/>
        <w:widowControl w:val="0"/>
        <w:kinsoku/>
        <w:wordWrap/>
        <w:overflowPunct/>
        <w:topLinePunct w:val="0"/>
        <w:autoSpaceDE/>
        <w:autoSpaceDN/>
        <w:bidi w:val="0"/>
        <w:adjustRightInd/>
        <w:snapToGrid/>
        <w:spacing w:after="0" w:line="240" w:lineRule="auto"/>
        <w:ind w:firstLine="2880" w:firstLineChars="9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发展基础</w:t>
      </w:r>
      <w:bookmarkEnd w:id="1"/>
      <w:bookmarkEnd w:id="2"/>
      <w:bookmarkEnd w:id="3"/>
    </w:p>
    <w:p w14:paraId="18A887E5">
      <w:pPr>
        <w:pStyle w:val="2"/>
        <w:keepNext w:val="0"/>
        <w:keepLines w:val="0"/>
        <w:pageBreakBefore w:val="0"/>
        <w:widowControl w:val="0"/>
        <w:kinsoku/>
        <w:wordWrap/>
        <w:overflowPunct/>
        <w:topLinePunct w:val="0"/>
        <w:autoSpaceDE w:val="0"/>
        <w:autoSpaceDN w:val="0"/>
        <w:bidi w:val="0"/>
        <w:adjustRightInd w:val="0"/>
        <w:snapToGrid/>
        <w:spacing w:line="240" w:lineRule="exact"/>
        <w:textAlignment w:val="auto"/>
        <w:outlineLvl w:val="9"/>
        <w:rPr>
          <w:rFonts w:hint="eastAsia" w:ascii="方正黑体_GBK" w:hAnsi="方正黑体_GBK" w:eastAsia="方正黑体_GBK" w:cs="方正黑体_GBK"/>
        </w:rPr>
      </w:pPr>
    </w:p>
    <w:p w14:paraId="69142E7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黑体_GBK" w:hAnsi="方正黑体_GBK" w:eastAsia="方正黑体_GBK" w:cs="方正黑体_GBK"/>
          <w:sz w:val="32"/>
          <w:szCs w:val="32"/>
        </w:rPr>
      </w:pPr>
      <w:bookmarkStart w:id="4" w:name="_Toc27062"/>
      <w:bookmarkEnd w:id="4"/>
      <w:bookmarkStart w:id="5" w:name="_Toc206235968"/>
      <w:bookmarkStart w:id="6" w:name="_Toc199376592"/>
      <w:bookmarkStart w:id="7" w:name="_Toc221202139"/>
      <w:r>
        <w:rPr>
          <w:rFonts w:hint="eastAsia" w:ascii="方正黑体_GBK" w:hAnsi="方正黑体_GBK" w:eastAsia="方正黑体_GBK" w:cs="方正黑体_GBK"/>
          <w:sz w:val="32"/>
          <w:szCs w:val="32"/>
        </w:rPr>
        <w:t>一、</w:t>
      </w:r>
      <w:bookmarkEnd w:id="5"/>
      <w:bookmarkEnd w:id="6"/>
      <w:r>
        <w:rPr>
          <w:rFonts w:hint="eastAsia" w:ascii="方正黑体_GBK" w:hAnsi="方正黑体_GBK" w:eastAsia="方正黑体_GBK" w:cs="方正黑体_GBK"/>
          <w:sz w:val="32"/>
          <w:szCs w:val="32"/>
        </w:rPr>
        <w:t>发展环境</w:t>
      </w:r>
      <w:bookmarkEnd w:id="7"/>
    </w:p>
    <w:p w14:paraId="1EBE9DC0">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bookmarkStart w:id="8" w:name="_Toc457228676"/>
      <w:bookmarkEnd w:id="8"/>
      <w:bookmarkStart w:id="9" w:name="_Toc29901"/>
      <w:bookmarkStart w:id="10" w:name="_Toc199376593"/>
      <w:r>
        <w:rPr>
          <w:rFonts w:hint="eastAsia" w:ascii="仿宋_GB2312" w:hAnsi="仿宋_GB2312" w:eastAsia="仿宋_GB2312" w:cs="仿宋_GB2312"/>
          <w:sz w:val="32"/>
          <w:szCs w:val="32"/>
        </w:rPr>
        <w:t>“十四五”时期，广西地震监测预报预警、震害防御、应急响应、公共服务得到快速提升，防震减灾事业高质量发展成效显著。地震监测预报预警能力不断提升。建成测震站点477个，地球物理站点63个，陆域地震监测能力提升至1.5级，近海海域地震监测能力达到3.0级，实现辖区内震后10秒内发布预警信息。地震灾害防御能力明显增强。编制了广西1:25万地震构造图，完成钦州市、合浦县城市活动断层探测。推动地震易发区房屋设施抗震加固工程，为55个开发区和化工园区以及84项重大建设工程等提供专业化地震安全服务。地震应急响应支撑能力不断增强。高效应对德保4.8级、北部湾5.0级、天峨4.4级、柳州5.2级震群等显著地震。实施广西应急使命演练，推进建设应急物资储备库建设。防震减灾公共服务能力显著提高。为高铁、核电、大型水库、矿山、文物等行业提供地震信息与预警服务。在全区10540所中小学校开展“五个一”活动，培养1.6万余名防震减灾科学传播师。打造防震减灾科普讲解大赛、志愿服务等品牌活动，创作近200个科普产品。地震科技支撑服务能力显著增强。建成北海涠洲岛海洋地球物理广西野外科学观测研究站、华南片区地震仪器维修基地等特色科创、交流平台。</w:t>
      </w:r>
    </w:p>
    <w:bookmarkEnd w:id="9"/>
    <w:bookmarkEnd w:id="10"/>
    <w:p w14:paraId="3445FCFB">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黑体_GBK" w:hAnsi="方正黑体_GBK" w:eastAsia="方正黑体_GBK" w:cs="方正黑体_GBK"/>
          <w:sz w:val="32"/>
          <w:szCs w:val="32"/>
        </w:rPr>
      </w:pPr>
      <w:bookmarkStart w:id="11" w:name="_Toc457228678"/>
      <w:bookmarkStart w:id="12" w:name="_Toc221202140"/>
      <w:bookmarkStart w:id="13" w:name="_Toc206235970"/>
      <w:bookmarkStart w:id="14" w:name="_Toc199376594"/>
      <w:r>
        <w:rPr>
          <w:rFonts w:hint="eastAsia" w:ascii="方正黑体_GBK" w:hAnsi="方正黑体_GBK" w:eastAsia="方正黑体_GBK" w:cs="方正黑体_GBK"/>
          <w:sz w:val="32"/>
          <w:szCs w:val="32"/>
        </w:rPr>
        <w:t>二、面临形势</w:t>
      </w:r>
      <w:bookmarkEnd w:id="11"/>
      <w:bookmarkEnd w:id="12"/>
      <w:bookmarkEnd w:id="13"/>
      <w:bookmarkEnd w:id="14"/>
    </w:p>
    <w:p w14:paraId="1B167C4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bookmarkStart w:id="15" w:name="_Toc199376595"/>
      <w:r>
        <w:rPr>
          <w:rFonts w:hint="eastAsia" w:ascii="仿宋_GB2312" w:hAnsi="仿宋_GB2312" w:eastAsia="仿宋_GB2312" w:cs="仿宋_GB2312"/>
          <w:sz w:val="32"/>
          <w:szCs w:val="32"/>
        </w:rPr>
        <w:t>“十五五”时期，我区防震减灾事业仍处于加快转型升级、提质增效的关键期，面临新的机遇与挑战。从机遇方面来看，一是习近平总书记“大震之问”深入人心，同题共答工作格局全面形成。党的十八大以来，习近平总书记就做好应急管理工作提出一系列新理念、新思想、新战略，对防震减灾多次作出重要指示批示，特别是2023年提出“大震之问”，为防震减灾事业改革发展提供了根本遵循和行动指南。二是防震减灾治理体系优势日益彰显。全面融入大安全大应急体系，体制机制与技术体系深度融合，构建灾前预防、灾中响应、灾后恢复的全链条闭环管理机制，社会动员与市场机制协同效能显著提升。三是发展条件保障更加充分。我区经济实力和综合国力迈向更高台阶，为防震减灾奠定了坚实基础。人民群众和社会组织参与积极性显著提升，正逐步成为防震减灾重要支撑力量。四是科技赋能加速释放。新一轮科技革命和产业变革加速突破，大数据和人工智能等新一代信息技术迅猛发展，有力推动防震减灾新质业务加快形成与迭代升级。</w:t>
      </w:r>
    </w:p>
    <w:p w14:paraId="737F1B49">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挑战方面来看，一是广西震情形势紧迫。广西是华南内陆地震活动最活跃的地区之一，有地震记录以来广西共发生31次5级以上地震，其中6级以上地震5次，2016年以来先后发生了6次5级以上地震，防御和减轻地震灾害对我区防震减灾工作提出更高要求。二是广西防灾减灾工作还存在短板与不足。地震监测能力仍需提高，海洋地震监测刚起步，地震预测仍未取得突破性进展，地震预警需要加快转化为减灾能力，大震危险源尚未探明，城乡抗震韧性不足，缺乏地震灾害风险感知能力，地震基础研究成果少，新技术的迭代升级</w:t>
      </w:r>
      <w:r>
        <w:rPr>
          <w:rFonts w:hint="eastAsia" w:ascii="仿宋_GB2312" w:hAnsi="仿宋_GB2312" w:eastAsia="仿宋_GB2312" w:cs="仿宋_GB2312"/>
          <w:sz w:val="32"/>
          <w:szCs w:val="32"/>
          <w:lang w:eastAsia="zh-CN"/>
        </w:rPr>
        <w:t>与成果转化</w:t>
      </w:r>
      <w:r>
        <w:rPr>
          <w:rFonts w:hint="eastAsia" w:ascii="仿宋_GB2312" w:hAnsi="仿宋_GB2312" w:eastAsia="仿宋_GB2312" w:cs="仿宋_GB2312"/>
          <w:sz w:val="32"/>
          <w:szCs w:val="32"/>
        </w:rPr>
        <w:t>能力不强，地震应急处置、公众防震避险意识和能力亟待提高。</w:t>
      </w:r>
      <w:bookmarkStart w:id="16" w:name="_Toc206235971"/>
    </w:p>
    <w:p w14:paraId="039C4F05">
      <w:pPr>
        <w:keepNext w:val="0"/>
        <w:keepLines w:val="0"/>
        <w:pageBreakBefore w:val="0"/>
        <w:widowControl w:val="0"/>
        <w:kinsoku/>
        <w:wordWrap/>
        <w:overflowPunct/>
        <w:topLinePunct w:val="0"/>
        <w:autoSpaceDE/>
        <w:autoSpaceDN/>
        <w:bidi w:val="0"/>
        <w:adjustRightInd/>
        <w:snapToGrid/>
        <w:spacing w:after="0" w:line="240" w:lineRule="exact"/>
        <w:ind w:firstLine="640" w:firstLineChars="200"/>
        <w:jc w:val="both"/>
        <w:textAlignment w:val="auto"/>
        <w:outlineLvl w:val="9"/>
        <w:rPr>
          <w:rFonts w:hint="eastAsia" w:ascii="仿宋_GB2312" w:hAnsi="仿宋_GB2312" w:eastAsia="仿宋_GB2312" w:cs="仿宋_GB2312"/>
          <w:sz w:val="32"/>
          <w:szCs w:val="32"/>
        </w:rPr>
      </w:pPr>
      <w:bookmarkStart w:id="17" w:name="_Toc221202141"/>
    </w:p>
    <w:p w14:paraId="5A4DC69C">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第二章  </w:t>
      </w:r>
      <w:bookmarkEnd w:id="0"/>
      <w:bookmarkEnd w:id="15"/>
      <w:bookmarkEnd w:id="16"/>
      <w:bookmarkEnd w:id="17"/>
      <w:r>
        <w:rPr>
          <w:rFonts w:hint="eastAsia" w:ascii="方正黑体_GBK" w:hAnsi="方正黑体_GBK" w:eastAsia="方正黑体_GBK" w:cs="方正黑体_GBK"/>
          <w:sz w:val="32"/>
          <w:szCs w:val="32"/>
        </w:rPr>
        <w:t>总体要求</w:t>
      </w:r>
    </w:p>
    <w:p w14:paraId="4A9065A6">
      <w:pPr>
        <w:pStyle w:val="2"/>
        <w:keepNext w:val="0"/>
        <w:keepLines w:val="0"/>
        <w:pageBreakBefore w:val="0"/>
        <w:widowControl w:val="0"/>
        <w:kinsoku/>
        <w:wordWrap/>
        <w:overflowPunct/>
        <w:topLinePunct w:val="0"/>
        <w:autoSpaceDE w:val="0"/>
        <w:autoSpaceDN w:val="0"/>
        <w:bidi w:val="0"/>
        <w:adjustRightInd w:val="0"/>
        <w:snapToGrid/>
        <w:spacing w:line="240" w:lineRule="exact"/>
        <w:jc w:val="both"/>
        <w:textAlignment w:val="auto"/>
        <w:outlineLvl w:val="9"/>
        <w:rPr>
          <w:rFonts w:hint="eastAsia"/>
        </w:rPr>
      </w:pPr>
    </w:p>
    <w:p w14:paraId="123A44E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9"/>
        <w:rPr>
          <w:rFonts w:hint="eastAsia" w:ascii="方正黑体_GBK" w:hAnsi="方正黑体_GBK" w:eastAsia="方正黑体_GBK" w:cs="方正黑体_GBK"/>
          <w:sz w:val="32"/>
          <w:szCs w:val="32"/>
        </w:rPr>
      </w:pPr>
      <w:bookmarkStart w:id="18" w:name="_Toc11350"/>
      <w:bookmarkEnd w:id="18"/>
      <w:bookmarkStart w:id="19" w:name="_Toc221202142"/>
      <w:bookmarkStart w:id="20" w:name="_Toc199376596"/>
      <w:bookmarkStart w:id="21" w:name="_Toc206235972"/>
      <w:r>
        <w:rPr>
          <w:rFonts w:hint="eastAsia" w:ascii="方正黑体_GBK" w:hAnsi="方正黑体_GBK" w:eastAsia="方正黑体_GBK" w:cs="方正黑体_GBK"/>
          <w:sz w:val="32"/>
          <w:szCs w:val="32"/>
        </w:rPr>
        <w:t>一、指导思想</w:t>
      </w:r>
      <w:bookmarkEnd w:id="19"/>
      <w:bookmarkEnd w:id="20"/>
      <w:bookmarkEnd w:id="21"/>
    </w:p>
    <w:p w14:paraId="6DCAF9C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党的二十大和二十届历次全会精神，深入贯彻落实习近平总书记关于应急管理重要论述、防震减灾重要指示批示精神和关于广西工作论述的重要要求，完整准确全面贯彻新发展理念，坚持总体国家安全观，统筹发展和安全，坚持人民至上、生命至上，以回答好习近平总书记“大震之问”为引领，坚持实干为要、创新为魂，用业绩说话、让人民评价，以推动防震减灾高质量发展为主线，以改革创新为根本动力，立足广西经济社会发展需求和震情特点，全面提升广西防震减灾事业现代化水平。</w:t>
      </w:r>
    </w:p>
    <w:p w14:paraId="46CC5AC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9"/>
        <w:rPr>
          <w:rFonts w:hint="eastAsia" w:ascii="方正黑体_GBK" w:hAnsi="方正黑体_GBK" w:eastAsia="方正黑体_GBK" w:cs="方正黑体_GBK"/>
          <w:sz w:val="32"/>
          <w:szCs w:val="32"/>
        </w:rPr>
      </w:pPr>
      <w:bookmarkStart w:id="22" w:name="_Toc221202144"/>
      <w:bookmarkStart w:id="23" w:name="_Toc206235974"/>
      <w:bookmarkStart w:id="24" w:name="_Toc199376598"/>
      <w:r>
        <w:rPr>
          <w:rFonts w:hint="eastAsia" w:ascii="方正黑体_GBK" w:hAnsi="方正黑体_GBK" w:eastAsia="方正黑体_GBK" w:cs="方正黑体_GBK"/>
          <w:sz w:val="32"/>
          <w:szCs w:val="32"/>
        </w:rPr>
        <w:t>二、发展目标</w:t>
      </w:r>
      <w:bookmarkEnd w:id="22"/>
      <w:bookmarkEnd w:id="23"/>
      <w:bookmarkEnd w:id="24"/>
    </w:p>
    <w:p w14:paraId="1F5A23B8">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outlineLvl w:val="9"/>
        <w:rPr>
          <w:rFonts w:hint="eastAsia" w:asciiTheme="minorEastAsia" w:hAnsiTheme="minorEastAsia" w:eastAsiaTheme="minorEastAsia"/>
          <w:color w:val="000000" w:themeColor="text1"/>
          <w:lang w:bidi="ar"/>
          <w14:textFill>
            <w14:solidFill>
              <w14:schemeClr w14:val="tx1"/>
            </w14:solidFill>
          </w14:textFill>
        </w:rPr>
      </w:pPr>
      <w:r>
        <w:rPr>
          <w:rFonts w:hint="eastAsia" w:ascii="仿宋_GB2312" w:hAnsi="仿宋_GB2312" w:eastAsia="仿宋_GB2312" w:cs="仿宋_GB2312"/>
          <w:sz w:val="32"/>
          <w:szCs w:val="32"/>
        </w:rPr>
        <w:t>到2030年，防震减灾事业现代化建设取得重要进展，工作体系更加健全、工作布局更加合理，基层基础更加坚实，科技支撑和法治保障更加有力，城乡综合抗御6级左右地震能力持续巩固。地震监测站网性能持续提升，高精度监测范围不断扩大，监测预警效能有效发挥，地震预报水平稳中有升。潜在震源探查更精细，灾害风险感知更及时，防治区划更加精准。公众防震避险更加科学，大震巨灾应对准备更加充分，基础设施震后快速恢复能力明显增强。在此基础上再奋斗五年，到2035年基本实现防震减灾事业现代化，重点地区、重要地区、重要设施初步具备综合抗御7级左右地震能力，我区地震安全韧性显著提升。</w:t>
      </w:r>
    </w:p>
    <w:p w14:paraId="7C39A614">
      <w:pPr>
        <w:pStyle w:val="2"/>
        <w:spacing w:line="360" w:lineRule="auto"/>
        <w:rPr>
          <w:rFonts w:hint="eastAsia" w:asciiTheme="minorEastAsia" w:hAnsiTheme="minorEastAsia" w:eastAsiaTheme="minorEastAsia"/>
          <w:color w:val="000000" w:themeColor="text1"/>
          <w:lang w:bidi="ar"/>
          <w14:textFill>
            <w14:solidFill>
              <w14:schemeClr w14:val="tx1"/>
            </w14:solidFill>
          </w14:textFill>
        </w:rPr>
      </w:pPr>
    </w:p>
    <w:tbl>
      <w:tblPr>
        <w:tblStyle w:val="9"/>
        <w:tblW w:w="10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692"/>
        <w:gridCol w:w="3427"/>
        <w:gridCol w:w="1290"/>
        <w:gridCol w:w="1605"/>
        <w:gridCol w:w="1305"/>
      </w:tblGrid>
      <w:tr w14:paraId="7BC2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0057" w:type="dxa"/>
            <w:gridSpan w:val="6"/>
            <w:tcBorders>
              <w:top w:val="single" w:color="auto" w:sz="4" w:space="0"/>
              <w:left w:val="single" w:color="auto" w:sz="4" w:space="0"/>
              <w:bottom w:val="single" w:color="auto" w:sz="4" w:space="0"/>
              <w:right w:val="single" w:color="auto" w:sz="4" w:space="0"/>
            </w:tcBorders>
            <w:vAlign w:val="center"/>
          </w:tcPr>
          <w:p w14:paraId="2D0F5ABA">
            <w:pPr>
              <w:keepNext w:val="0"/>
              <w:keepLines w:val="0"/>
              <w:pageBreakBefore w:val="0"/>
              <w:widowControl w:val="0"/>
              <w:kinsoku/>
              <w:wordWrap/>
              <w:overflowPunct/>
              <w:topLinePunct w:val="0"/>
              <w:autoSpaceDE/>
              <w:autoSpaceDN/>
              <w:bidi w:val="0"/>
              <w:adjustRightInd w:val="0"/>
              <w:snapToGrid w:val="0"/>
              <w:spacing w:after="0" w:line="360" w:lineRule="auto"/>
              <w:jc w:val="center"/>
              <w:textAlignment w:val="auto"/>
              <w:outlineLvl w:val="9"/>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方正黑体_GBK" w:hAnsi="方正黑体_GBK" w:eastAsia="方正黑体_GBK" w:cs="方正黑体_GBK"/>
                <w:color w:val="000000" w:themeColor="text1"/>
                <w:kern w:val="0"/>
                <w:sz w:val="24"/>
                <w:szCs w:val="24"/>
                <w:lang w:bidi="ar"/>
                <w14:textFill>
                  <w14:solidFill>
                    <w14:schemeClr w14:val="tx1"/>
                  </w14:solidFill>
                </w14:textFill>
              </w:rPr>
              <w:t>“十五五”主要指标</w:t>
            </w:r>
          </w:p>
        </w:tc>
      </w:tr>
      <w:tr w14:paraId="5DF6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tcBorders>
              <w:top w:val="single" w:color="auto" w:sz="4" w:space="0"/>
              <w:left w:val="single" w:color="auto" w:sz="4" w:space="0"/>
              <w:bottom w:val="single" w:color="auto" w:sz="4" w:space="0"/>
              <w:right w:val="single" w:color="auto" w:sz="4" w:space="0"/>
            </w:tcBorders>
            <w:vAlign w:val="center"/>
          </w:tcPr>
          <w:p w14:paraId="276D638F">
            <w:pPr>
              <w:adjustRightInd w:val="0"/>
              <w:snapToGrid w:val="0"/>
              <w:spacing w:line="400" w:lineRule="exact"/>
              <w:jc w:val="center"/>
              <w:rPr>
                <w:rFonts w:hint="eastAsia" w:ascii="仿宋_GB2312" w:hAnsi="仿宋_GB2312" w:eastAsia="仿宋_GB2312" w:cs="仿宋_GB2312"/>
                <w:b/>
                <w:color w:val="000000" w:themeColor="text1"/>
                <w:kern w:val="0"/>
                <w:sz w:val="24"/>
                <w:szCs w:val="24"/>
                <w14:textFill>
                  <w14:solidFill>
                    <w14:schemeClr w14:val="tx1"/>
                  </w14:solidFill>
                </w14:textFill>
              </w:rPr>
            </w:pPr>
            <w:r>
              <w:rPr>
                <w:rFonts w:hint="eastAsia" w:ascii="仿宋_GB2312" w:hAnsi="仿宋_GB2312" w:eastAsia="仿宋_GB2312" w:cs="仿宋_GB2312"/>
                <w:b/>
                <w:color w:val="000000" w:themeColor="text1"/>
                <w:kern w:val="0"/>
                <w:sz w:val="24"/>
                <w:szCs w:val="24"/>
                <w:lang w:bidi="ar"/>
                <w14:textFill>
                  <w14:solidFill>
                    <w14:schemeClr w14:val="tx1"/>
                  </w14:solidFill>
                </w14:textFill>
              </w:rPr>
              <w:t>序号</w:t>
            </w:r>
          </w:p>
        </w:tc>
        <w:tc>
          <w:tcPr>
            <w:tcW w:w="1692" w:type="dxa"/>
            <w:tcBorders>
              <w:top w:val="single" w:color="auto" w:sz="4" w:space="0"/>
              <w:left w:val="nil"/>
              <w:bottom w:val="single" w:color="auto" w:sz="4" w:space="0"/>
              <w:right w:val="single" w:color="auto" w:sz="4" w:space="0"/>
            </w:tcBorders>
            <w:vAlign w:val="center"/>
          </w:tcPr>
          <w:p w14:paraId="11A7AC3B">
            <w:pPr>
              <w:adjustRightInd w:val="0"/>
              <w:snapToGrid w:val="0"/>
              <w:spacing w:line="400" w:lineRule="exact"/>
              <w:jc w:val="center"/>
              <w:rPr>
                <w:rFonts w:hint="eastAsia" w:ascii="仿宋_GB2312" w:hAnsi="仿宋_GB2312" w:eastAsia="仿宋_GB2312" w:cs="仿宋_GB2312"/>
                <w:b/>
                <w:color w:val="000000" w:themeColor="text1"/>
                <w:kern w:val="0"/>
                <w:sz w:val="24"/>
                <w:szCs w:val="24"/>
                <w14:textFill>
                  <w14:solidFill>
                    <w14:schemeClr w14:val="tx1"/>
                  </w14:solidFill>
                </w14:textFill>
              </w:rPr>
            </w:pPr>
            <w:r>
              <w:rPr>
                <w:rFonts w:hint="eastAsia" w:ascii="仿宋_GB2312" w:hAnsi="仿宋_GB2312" w:eastAsia="仿宋_GB2312" w:cs="仿宋_GB2312"/>
                <w:b/>
                <w:color w:val="000000" w:themeColor="text1"/>
                <w:kern w:val="0"/>
                <w:sz w:val="24"/>
                <w:szCs w:val="24"/>
                <w:lang w:bidi="ar"/>
                <w14:textFill>
                  <w14:solidFill>
                    <w14:schemeClr w14:val="tx1"/>
                  </w14:solidFill>
                </w14:textFill>
              </w:rPr>
              <w:t>指标类别</w:t>
            </w:r>
          </w:p>
        </w:tc>
        <w:tc>
          <w:tcPr>
            <w:tcW w:w="3427" w:type="dxa"/>
            <w:tcBorders>
              <w:top w:val="single" w:color="auto" w:sz="4" w:space="0"/>
              <w:left w:val="nil"/>
              <w:bottom w:val="single" w:color="auto" w:sz="4" w:space="0"/>
              <w:right w:val="single" w:color="auto" w:sz="4" w:space="0"/>
            </w:tcBorders>
            <w:vAlign w:val="center"/>
          </w:tcPr>
          <w:p w14:paraId="594B2809">
            <w:pPr>
              <w:adjustRightInd w:val="0"/>
              <w:snapToGrid w:val="0"/>
              <w:spacing w:line="400" w:lineRule="exact"/>
              <w:jc w:val="center"/>
              <w:rPr>
                <w:rFonts w:hint="eastAsia" w:ascii="仿宋_GB2312" w:hAnsi="仿宋_GB2312" w:eastAsia="仿宋_GB2312" w:cs="仿宋_GB2312"/>
                <w:b/>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color w:val="000000" w:themeColor="text1"/>
                <w:kern w:val="0"/>
                <w:sz w:val="24"/>
                <w:szCs w:val="24"/>
                <w:lang w:bidi="ar"/>
                <w14:textFill>
                  <w14:solidFill>
                    <w14:schemeClr w14:val="tx1"/>
                  </w14:solidFill>
                </w14:textFill>
              </w:rPr>
              <w:t>指标</w:t>
            </w:r>
          </w:p>
        </w:tc>
        <w:tc>
          <w:tcPr>
            <w:tcW w:w="1290" w:type="dxa"/>
            <w:tcBorders>
              <w:top w:val="single" w:color="auto" w:sz="4" w:space="0"/>
              <w:left w:val="single" w:color="auto" w:sz="4" w:space="0"/>
              <w:bottom w:val="single" w:color="auto" w:sz="4" w:space="0"/>
              <w:right w:val="single" w:color="auto" w:sz="4" w:space="0"/>
            </w:tcBorders>
            <w:vAlign w:val="center"/>
          </w:tcPr>
          <w:p w14:paraId="15C08797">
            <w:pPr>
              <w:adjustRightInd w:val="0"/>
              <w:snapToGrid w:val="0"/>
              <w:spacing w:line="400" w:lineRule="exact"/>
              <w:jc w:val="center"/>
              <w:rPr>
                <w:rFonts w:hint="eastAsia" w:ascii="仿宋_GB2312" w:hAnsi="仿宋_GB2312" w:eastAsia="仿宋_GB2312" w:cs="仿宋_GB2312"/>
                <w:b/>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color w:val="000000" w:themeColor="text1"/>
                <w:kern w:val="0"/>
                <w:sz w:val="24"/>
                <w:szCs w:val="24"/>
                <w:lang w:bidi="ar"/>
                <w14:textFill>
                  <w14:solidFill>
                    <w14:schemeClr w14:val="tx1"/>
                  </w14:solidFill>
                </w14:textFill>
              </w:rPr>
              <w:t>2025年</w:t>
            </w:r>
          </w:p>
        </w:tc>
        <w:tc>
          <w:tcPr>
            <w:tcW w:w="1605" w:type="dxa"/>
            <w:tcBorders>
              <w:top w:val="single" w:color="auto" w:sz="4" w:space="0"/>
              <w:left w:val="single" w:color="auto" w:sz="4" w:space="0"/>
              <w:bottom w:val="single" w:color="auto" w:sz="4" w:space="0"/>
              <w:right w:val="single" w:color="auto" w:sz="4" w:space="0"/>
            </w:tcBorders>
            <w:vAlign w:val="center"/>
          </w:tcPr>
          <w:p w14:paraId="56A84544">
            <w:pPr>
              <w:adjustRightInd w:val="0"/>
              <w:snapToGrid w:val="0"/>
              <w:spacing w:line="400" w:lineRule="exact"/>
              <w:jc w:val="center"/>
              <w:rPr>
                <w:rFonts w:hint="eastAsia" w:ascii="仿宋_GB2312" w:hAnsi="仿宋_GB2312" w:eastAsia="仿宋_GB2312" w:cs="仿宋_GB2312"/>
                <w:b/>
                <w:color w:val="000000" w:themeColor="text1"/>
                <w:kern w:val="0"/>
                <w:sz w:val="24"/>
                <w:szCs w:val="24"/>
                <w14:textFill>
                  <w14:solidFill>
                    <w14:schemeClr w14:val="tx1"/>
                  </w14:solidFill>
                </w14:textFill>
              </w:rPr>
            </w:pPr>
            <w:r>
              <w:rPr>
                <w:rFonts w:hint="eastAsia" w:ascii="仿宋_GB2312" w:hAnsi="仿宋_GB2312" w:eastAsia="仿宋_GB2312" w:cs="仿宋_GB2312"/>
                <w:b/>
                <w:color w:val="000000" w:themeColor="text1"/>
                <w:kern w:val="0"/>
                <w:sz w:val="24"/>
                <w:szCs w:val="24"/>
                <w:lang w:bidi="ar"/>
                <w14:textFill>
                  <w14:solidFill>
                    <w14:schemeClr w14:val="tx1"/>
                  </w14:solidFill>
                </w14:textFill>
              </w:rPr>
              <w:t>2030年</w:t>
            </w:r>
          </w:p>
        </w:tc>
        <w:tc>
          <w:tcPr>
            <w:tcW w:w="1305" w:type="dxa"/>
            <w:tcBorders>
              <w:top w:val="single" w:color="auto" w:sz="4" w:space="0"/>
              <w:left w:val="single" w:color="auto" w:sz="4" w:space="0"/>
              <w:bottom w:val="single" w:color="auto" w:sz="4" w:space="0"/>
              <w:right w:val="single" w:color="auto" w:sz="4" w:space="0"/>
            </w:tcBorders>
            <w:vAlign w:val="center"/>
          </w:tcPr>
          <w:p w14:paraId="7A96C2D5">
            <w:pPr>
              <w:adjustRightInd w:val="0"/>
              <w:snapToGrid w:val="0"/>
              <w:spacing w:line="400" w:lineRule="exact"/>
              <w:jc w:val="center"/>
              <w:rPr>
                <w:rFonts w:hint="eastAsia" w:ascii="仿宋_GB2312" w:hAnsi="仿宋_GB2312" w:eastAsia="仿宋_GB2312" w:cs="仿宋_GB2312"/>
                <w:b/>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b/>
                <w:color w:val="000000" w:themeColor="text1"/>
                <w:kern w:val="0"/>
                <w:sz w:val="24"/>
                <w:szCs w:val="24"/>
                <w:lang w:bidi="ar"/>
                <w14:textFill>
                  <w14:solidFill>
                    <w14:schemeClr w14:val="tx1"/>
                  </w14:solidFill>
                </w14:textFill>
              </w:rPr>
              <w:t>属性</w:t>
            </w:r>
          </w:p>
        </w:tc>
      </w:tr>
      <w:tr w14:paraId="73B1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restart"/>
            <w:tcBorders>
              <w:top w:val="nil"/>
              <w:left w:val="single" w:color="auto" w:sz="4" w:space="0"/>
              <w:right w:val="single" w:color="auto" w:sz="4" w:space="0"/>
            </w:tcBorders>
            <w:vAlign w:val="center"/>
          </w:tcPr>
          <w:p w14:paraId="3EFFEF25">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w:t>
            </w:r>
          </w:p>
        </w:tc>
        <w:tc>
          <w:tcPr>
            <w:tcW w:w="1692" w:type="dxa"/>
            <w:vMerge w:val="restart"/>
            <w:tcBorders>
              <w:top w:val="single" w:color="auto" w:sz="4" w:space="0"/>
              <w:left w:val="nil"/>
              <w:right w:val="single" w:color="auto" w:sz="4" w:space="0"/>
            </w:tcBorders>
            <w:vAlign w:val="center"/>
          </w:tcPr>
          <w:p w14:paraId="1093673C">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地震监测能力</w:t>
            </w:r>
          </w:p>
        </w:tc>
        <w:tc>
          <w:tcPr>
            <w:tcW w:w="3427" w:type="dxa"/>
            <w:tcBorders>
              <w:top w:val="single" w:color="auto" w:sz="4" w:space="0"/>
              <w:left w:val="nil"/>
              <w:bottom w:val="single" w:color="auto" w:sz="4" w:space="0"/>
              <w:right w:val="single" w:color="auto" w:sz="4" w:space="0"/>
            </w:tcBorders>
            <w:vAlign w:val="center"/>
          </w:tcPr>
          <w:p w14:paraId="117C8632">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全区陆域地震监测能力</w:t>
            </w:r>
          </w:p>
        </w:tc>
        <w:tc>
          <w:tcPr>
            <w:tcW w:w="1290" w:type="dxa"/>
            <w:tcBorders>
              <w:top w:val="single" w:color="auto" w:sz="4" w:space="0"/>
              <w:left w:val="single" w:color="auto" w:sz="4" w:space="0"/>
              <w:bottom w:val="single" w:color="auto" w:sz="4" w:space="0"/>
              <w:right w:val="single" w:color="auto" w:sz="4" w:space="0"/>
            </w:tcBorders>
            <w:vAlign w:val="center"/>
          </w:tcPr>
          <w:p w14:paraId="79E1D8D0">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1.5级</w:t>
            </w:r>
          </w:p>
        </w:tc>
        <w:tc>
          <w:tcPr>
            <w:tcW w:w="1605" w:type="dxa"/>
            <w:tcBorders>
              <w:top w:val="single" w:color="auto" w:sz="4" w:space="0"/>
              <w:left w:val="single" w:color="auto" w:sz="4" w:space="0"/>
              <w:bottom w:val="single" w:color="auto" w:sz="4" w:space="0"/>
              <w:right w:val="single" w:color="auto" w:sz="4" w:space="0"/>
            </w:tcBorders>
            <w:vAlign w:val="center"/>
          </w:tcPr>
          <w:p w14:paraId="2DA100EC">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1.2级</w:t>
            </w:r>
          </w:p>
        </w:tc>
        <w:tc>
          <w:tcPr>
            <w:tcW w:w="1305" w:type="dxa"/>
            <w:vMerge w:val="restart"/>
            <w:tcBorders>
              <w:top w:val="single" w:color="auto" w:sz="4" w:space="0"/>
              <w:left w:val="single" w:color="auto" w:sz="4" w:space="0"/>
              <w:right w:val="single" w:color="auto" w:sz="4" w:space="0"/>
            </w:tcBorders>
            <w:vAlign w:val="center"/>
          </w:tcPr>
          <w:p w14:paraId="24F6B7DE">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预期性</w:t>
            </w:r>
          </w:p>
        </w:tc>
      </w:tr>
      <w:tr w14:paraId="17CF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continue"/>
            <w:tcBorders>
              <w:left w:val="single" w:color="auto" w:sz="4" w:space="0"/>
              <w:right w:val="single" w:color="auto" w:sz="4" w:space="0"/>
            </w:tcBorders>
            <w:vAlign w:val="center"/>
          </w:tcPr>
          <w:p w14:paraId="1384D007">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p>
        </w:tc>
        <w:tc>
          <w:tcPr>
            <w:tcW w:w="1692" w:type="dxa"/>
            <w:vMerge w:val="continue"/>
            <w:tcBorders>
              <w:left w:val="nil"/>
              <w:bottom w:val="single" w:color="auto" w:sz="4" w:space="0"/>
              <w:right w:val="single" w:color="auto" w:sz="4" w:space="0"/>
            </w:tcBorders>
            <w:vAlign w:val="center"/>
          </w:tcPr>
          <w:p w14:paraId="239E2510">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3427" w:type="dxa"/>
            <w:tcBorders>
              <w:top w:val="single" w:color="auto" w:sz="4" w:space="0"/>
              <w:left w:val="nil"/>
              <w:bottom w:val="single" w:color="auto" w:sz="4" w:space="0"/>
              <w:right w:val="single" w:color="auto" w:sz="4" w:space="0"/>
            </w:tcBorders>
            <w:vAlign w:val="center"/>
          </w:tcPr>
          <w:p w14:paraId="2EEEF9D6">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广西近海海域监测能力</w:t>
            </w:r>
          </w:p>
        </w:tc>
        <w:tc>
          <w:tcPr>
            <w:tcW w:w="1290" w:type="dxa"/>
            <w:tcBorders>
              <w:top w:val="single" w:color="auto" w:sz="4" w:space="0"/>
              <w:left w:val="single" w:color="auto" w:sz="4" w:space="0"/>
              <w:bottom w:val="single" w:color="auto" w:sz="4" w:space="0"/>
              <w:right w:val="single" w:color="auto" w:sz="4" w:space="0"/>
            </w:tcBorders>
            <w:vAlign w:val="center"/>
          </w:tcPr>
          <w:p w14:paraId="6CDC795D">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3.0级</w:t>
            </w:r>
          </w:p>
        </w:tc>
        <w:tc>
          <w:tcPr>
            <w:tcW w:w="1605" w:type="dxa"/>
            <w:tcBorders>
              <w:top w:val="single" w:color="auto" w:sz="4" w:space="0"/>
              <w:left w:val="single" w:color="auto" w:sz="4" w:space="0"/>
              <w:bottom w:val="single" w:color="auto" w:sz="4" w:space="0"/>
              <w:right w:val="single" w:color="auto" w:sz="4" w:space="0"/>
            </w:tcBorders>
            <w:vAlign w:val="center"/>
          </w:tcPr>
          <w:p w14:paraId="135F27DF">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2.0</w:t>
            </w:r>
          </w:p>
        </w:tc>
        <w:tc>
          <w:tcPr>
            <w:tcW w:w="1305" w:type="dxa"/>
            <w:vMerge w:val="continue"/>
            <w:tcBorders>
              <w:left w:val="single" w:color="auto" w:sz="4" w:space="0"/>
              <w:bottom w:val="single" w:color="auto" w:sz="4" w:space="0"/>
              <w:right w:val="single" w:color="auto" w:sz="4" w:space="0"/>
            </w:tcBorders>
            <w:vAlign w:val="center"/>
          </w:tcPr>
          <w:p w14:paraId="44934F4E">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14:paraId="2955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restart"/>
            <w:tcBorders>
              <w:top w:val="nil"/>
              <w:left w:val="single" w:color="auto" w:sz="4" w:space="0"/>
              <w:right w:val="single" w:color="auto" w:sz="4" w:space="0"/>
            </w:tcBorders>
            <w:vAlign w:val="center"/>
          </w:tcPr>
          <w:p w14:paraId="33808ED2">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2</w:t>
            </w:r>
          </w:p>
        </w:tc>
        <w:tc>
          <w:tcPr>
            <w:tcW w:w="1692" w:type="dxa"/>
            <w:vMerge w:val="restart"/>
            <w:tcBorders>
              <w:top w:val="single" w:color="auto" w:sz="4" w:space="0"/>
              <w:left w:val="nil"/>
              <w:right w:val="single" w:color="auto" w:sz="4" w:space="0"/>
            </w:tcBorders>
            <w:vAlign w:val="center"/>
          </w:tcPr>
          <w:p w14:paraId="097B0967">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地震预警服务能力</w:t>
            </w:r>
          </w:p>
        </w:tc>
        <w:tc>
          <w:tcPr>
            <w:tcW w:w="3427" w:type="dxa"/>
            <w:tcBorders>
              <w:top w:val="single" w:color="auto" w:sz="4" w:space="0"/>
              <w:left w:val="nil"/>
              <w:bottom w:val="single" w:color="auto" w:sz="4" w:space="0"/>
              <w:right w:val="single" w:color="auto" w:sz="4" w:space="0"/>
            </w:tcBorders>
            <w:vAlign w:val="center"/>
          </w:tcPr>
          <w:p w14:paraId="3AFE9142">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重点预警区覆盖范围</w:t>
            </w:r>
          </w:p>
        </w:tc>
        <w:tc>
          <w:tcPr>
            <w:tcW w:w="1290" w:type="dxa"/>
            <w:tcBorders>
              <w:top w:val="single" w:color="auto" w:sz="4" w:space="0"/>
              <w:left w:val="single" w:color="auto" w:sz="4" w:space="0"/>
              <w:bottom w:val="single" w:color="auto" w:sz="4" w:space="0"/>
              <w:right w:val="single" w:color="auto" w:sz="4" w:space="0"/>
            </w:tcBorders>
            <w:vAlign w:val="center"/>
          </w:tcPr>
          <w:p w14:paraId="3C625628">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20%</w:t>
            </w:r>
          </w:p>
        </w:tc>
        <w:tc>
          <w:tcPr>
            <w:tcW w:w="1605" w:type="dxa"/>
            <w:tcBorders>
              <w:top w:val="single" w:color="auto" w:sz="4" w:space="0"/>
              <w:left w:val="single" w:color="auto" w:sz="4" w:space="0"/>
              <w:bottom w:val="single" w:color="auto" w:sz="4" w:space="0"/>
              <w:right w:val="single" w:color="auto" w:sz="4" w:space="0"/>
            </w:tcBorders>
            <w:vAlign w:val="center"/>
          </w:tcPr>
          <w:p w14:paraId="02555982">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w:t>
            </w:r>
          </w:p>
        </w:tc>
        <w:tc>
          <w:tcPr>
            <w:tcW w:w="1305" w:type="dxa"/>
            <w:vMerge w:val="restart"/>
            <w:tcBorders>
              <w:top w:val="single" w:color="auto" w:sz="4" w:space="0"/>
              <w:left w:val="single" w:color="auto" w:sz="4" w:space="0"/>
              <w:right w:val="single" w:color="auto" w:sz="4" w:space="0"/>
            </w:tcBorders>
            <w:vAlign w:val="center"/>
          </w:tcPr>
          <w:p w14:paraId="32CAA946">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预期性</w:t>
            </w:r>
          </w:p>
        </w:tc>
      </w:tr>
      <w:tr w14:paraId="610A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continue"/>
            <w:tcBorders>
              <w:left w:val="single" w:color="auto" w:sz="4" w:space="0"/>
              <w:right w:val="single" w:color="auto" w:sz="4" w:space="0"/>
            </w:tcBorders>
            <w:vAlign w:val="center"/>
          </w:tcPr>
          <w:p w14:paraId="6F7B97CD">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p>
        </w:tc>
        <w:tc>
          <w:tcPr>
            <w:tcW w:w="1692" w:type="dxa"/>
            <w:vMerge w:val="continue"/>
            <w:tcBorders>
              <w:left w:val="nil"/>
              <w:bottom w:val="single" w:color="auto" w:sz="4" w:space="0"/>
              <w:right w:val="single" w:color="auto" w:sz="4" w:space="0"/>
            </w:tcBorders>
            <w:vAlign w:val="center"/>
          </w:tcPr>
          <w:p w14:paraId="7DE982C9">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3427" w:type="dxa"/>
            <w:tcBorders>
              <w:top w:val="single" w:color="auto" w:sz="4" w:space="0"/>
              <w:left w:val="nil"/>
              <w:bottom w:val="single" w:color="auto" w:sz="4" w:space="0"/>
              <w:right w:val="single" w:color="auto" w:sz="4" w:space="0"/>
            </w:tcBorders>
            <w:vAlign w:val="center"/>
          </w:tcPr>
          <w:p w14:paraId="3299CEB4">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地震预警行业用户数量</w:t>
            </w:r>
          </w:p>
        </w:tc>
        <w:tc>
          <w:tcPr>
            <w:tcW w:w="1290" w:type="dxa"/>
            <w:tcBorders>
              <w:top w:val="single" w:color="auto" w:sz="4" w:space="0"/>
              <w:left w:val="single" w:color="auto" w:sz="4" w:space="0"/>
              <w:bottom w:val="single" w:color="auto" w:sz="4" w:space="0"/>
              <w:right w:val="single" w:color="auto" w:sz="4" w:space="0"/>
            </w:tcBorders>
            <w:vAlign w:val="center"/>
          </w:tcPr>
          <w:p w14:paraId="451A69E6">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10个</w:t>
            </w:r>
          </w:p>
        </w:tc>
        <w:tc>
          <w:tcPr>
            <w:tcW w:w="1605" w:type="dxa"/>
            <w:tcBorders>
              <w:top w:val="single" w:color="auto" w:sz="4" w:space="0"/>
              <w:left w:val="single" w:color="auto" w:sz="4" w:space="0"/>
              <w:bottom w:val="single" w:color="auto" w:sz="4" w:space="0"/>
              <w:right w:val="single" w:color="auto" w:sz="4" w:space="0"/>
            </w:tcBorders>
            <w:vAlign w:val="center"/>
          </w:tcPr>
          <w:p w14:paraId="2A3D1586">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20个</w:t>
            </w:r>
          </w:p>
        </w:tc>
        <w:tc>
          <w:tcPr>
            <w:tcW w:w="1305" w:type="dxa"/>
            <w:vMerge w:val="continue"/>
            <w:tcBorders>
              <w:left w:val="single" w:color="auto" w:sz="4" w:space="0"/>
              <w:bottom w:val="single" w:color="auto" w:sz="4" w:space="0"/>
              <w:right w:val="single" w:color="auto" w:sz="4" w:space="0"/>
            </w:tcBorders>
            <w:vAlign w:val="center"/>
          </w:tcPr>
          <w:p w14:paraId="0FC592B1">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14:paraId="5033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tcBorders>
              <w:left w:val="single" w:color="auto" w:sz="4" w:space="0"/>
              <w:right w:val="single" w:color="auto" w:sz="4" w:space="0"/>
            </w:tcBorders>
            <w:vAlign w:val="center"/>
          </w:tcPr>
          <w:p w14:paraId="2EC89742">
            <w:pPr>
              <w:spacing w:line="40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1692" w:type="dxa"/>
            <w:tcBorders>
              <w:top w:val="single" w:color="auto" w:sz="4" w:space="0"/>
              <w:left w:val="nil"/>
              <w:bottom w:val="single" w:color="auto" w:sz="4" w:space="0"/>
              <w:right w:val="single" w:color="auto" w:sz="4" w:space="0"/>
            </w:tcBorders>
            <w:vAlign w:val="center"/>
          </w:tcPr>
          <w:p w14:paraId="2D4B3E8E">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震情趋势研判能力</w:t>
            </w:r>
          </w:p>
        </w:tc>
        <w:tc>
          <w:tcPr>
            <w:tcW w:w="3427" w:type="dxa"/>
            <w:tcBorders>
              <w:top w:val="single" w:color="auto" w:sz="4" w:space="0"/>
              <w:left w:val="nil"/>
              <w:bottom w:val="single" w:color="auto" w:sz="4" w:space="0"/>
              <w:right w:val="single" w:color="auto" w:sz="4" w:space="0"/>
            </w:tcBorders>
            <w:vAlign w:val="center"/>
          </w:tcPr>
          <w:p w14:paraId="517681DD">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地震重点危险区5.0级以上地震研判准确率</w:t>
            </w:r>
          </w:p>
        </w:tc>
        <w:tc>
          <w:tcPr>
            <w:tcW w:w="1290" w:type="dxa"/>
            <w:tcBorders>
              <w:top w:val="single" w:color="auto" w:sz="4" w:space="0"/>
              <w:left w:val="single" w:color="auto" w:sz="4" w:space="0"/>
              <w:bottom w:val="single" w:color="auto" w:sz="4" w:space="0"/>
              <w:right w:val="single" w:color="auto" w:sz="4" w:space="0"/>
            </w:tcBorders>
            <w:vAlign w:val="center"/>
          </w:tcPr>
          <w:p w14:paraId="5DF2A27A">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p>
        </w:tc>
        <w:tc>
          <w:tcPr>
            <w:tcW w:w="1605" w:type="dxa"/>
            <w:tcBorders>
              <w:top w:val="single" w:color="auto" w:sz="4" w:space="0"/>
              <w:left w:val="single" w:color="auto" w:sz="4" w:space="0"/>
              <w:bottom w:val="single" w:color="auto" w:sz="4" w:space="0"/>
              <w:right w:val="single" w:color="auto" w:sz="4" w:space="0"/>
            </w:tcBorders>
            <w:vAlign w:val="center"/>
          </w:tcPr>
          <w:p w14:paraId="36723EF4">
            <w:pPr>
              <w:adjustRightInd w:val="0"/>
              <w:snapToGrid w:val="0"/>
              <w:spacing w:line="40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40%</w:t>
            </w:r>
          </w:p>
        </w:tc>
        <w:tc>
          <w:tcPr>
            <w:tcW w:w="1305" w:type="dxa"/>
            <w:tcBorders>
              <w:top w:val="single" w:color="auto" w:sz="4" w:space="0"/>
              <w:left w:val="single" w:color="auto" w:sz="4" w:space="0"/>
              <w:bottom w:val="single" w:color="auto" w:sz="4" w:space="0"/>
              <w:right w:val="single" w:color="auto" w:sz="4" w:space="0"/>
            </w:tcBorders>
            <w:vAlign w:val="center"/>
          </w:tcPr>
          <w:p w14:paraId="150A54F6">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预期性</w:t>
            </w:r>
          </w:p>
        </w:tc>
      </w:tr>
      <w:tr w14:paraId="61CA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restart"/>
            <w:tcBorders>
              <w:top w:val="nil"/>
              <w:left w:val="single" w:color="auto" w:sz="4" w:space="0"/>
              <w:right w:val="single" w:color="auto" w:sz="4" w:space="0"/>
            </w:tcBorders>
            <w:vAlign w:val="center"/>
          </w:tcPr>
          <w:p w14:paraId="61A147D0">
            <w:pPr>
              <w:adjustRightInd w:val="0"/>
              <w:snapToGrid w:val="0"/>
              <w:spacing w:line="400" w:lineRule="exact"/>
              <w:jc w:val="center"/>
              <w:rPr>
                <w:rFonts w:hint="eastAsia" w:ascii="仿宋_GB2312" w:hAnsi="仿宋_GB2312" w:eastAsia="仿宋_GB2312" w:cs="仿宋_GB2312"/>
                <w:b/>
                <w:bCs/>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w:t>
            </w:r>
          </w:p>
        </w:tc>
        <w:tc>
          <w:tcPr>
            <w:tcW w:w="1692" w:type="dxa"/>
            <w:vMerge w:val="restart"/>
            <w:tcBorders>
              <w:top w:val="single" w:color="auto" w:sz="4" w:space="0"/>
              <w:left w:val="nil"/>
              <w:right w:val="single" w:color="auto" w:sz="4" w:space="0"/>
            </w:tcBorders>
            <w:vAlign w:val="center"/>
          </w:tcPr>
          <w:p w14:paraId="740381C5">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大震震源探查与城市活动断层探查能力</w:t>
            </w:r>
          </w:p>
        </w:tc>
        <w:tc>
          <w:tcPr>
            <w:tcW w:w="3427" w:type="dxa"/>
            <w:tcBorders>
              <w:top w:val="single" w:color="auto" w:sz="4" w:space="0"/>
              <w:left w:val="nil"/>
              <w:right w:val="single" w:color="auto" w:sz="4" w:space="0"/>
            </w:tcBorders>
            <w:vAlign w:val="center"/>
          </w:tcPr>
          <w:p w14:paraId="6889528F">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城市活动断层探测数量</w:t>
            </w:r>
          </w:p>
        </w:tc>
        <w:tc>
          <w:tcPr>
            <w:tcW w:w="1290" w:type="dxa"/>
            <w:tcBorders>
              <w:top w:val="single" w:color="auto" w:sz="4" w:space="0"/>
              <w:left w:val="single" w:color="auto" w:sz="4" w:space="0"/>
              <w:right w:val="single" w:color="auto" w:sz="4" w:space="0"/>
            </w:tcBorders>
            <w:vAlign w:val="center"/>
          </w:tcPr>
          <w:p w14:paraId="03B04389">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2个</w:t>
            </w:r>
          </w:p>
        </w:tc>
        <w:tc>
          <w:tcPr>
            <w:tcW w:w="1605" w:type="dxa"/>
            <w:tcBorders>
              <w:top w:val="single" w:color="auto" w:sz="4" w:space="0"/>
              <w:left w:val="single" w:color="auto" w:sz="4" w:space="0"/>
              <w:right w:val="single" w:color="auto" w:sz="4" w:space="0"/>
            </w:tcBorders>
            <w:vAlign w:val="center"/>
          </w:tcPr>
          <w:p w14:paraId="000C73EE">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5个</w:t>
            </w:r>
          </w:p>
        </w:tc>
        <w:tc>
          <w:tcPr>
            <w:tcW w:w="1305" w:type="dxa"/>
            <w:vMerge w:val="restart"/>
            <w:tcBorders>
              <w:top w:val="single" w:color="auto" w:sz="4" w:space="0"/>
              <w:left w:val="single" w:color="auto" w:sz="4" w:space="0"/>
              <w:right w:val="single" w:color="auto" w:sz="4" w:space="0"/>
            </w:tcBorders>
            <w:vAlign w:val="center"/>
          </w:tcPr>
          <w:p w14:paraId="73D349B1">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约束性</w:t>
            </w:r>
          </w:p>
        </w:tc>
      </w:tr>
      <w:tr w14:paraId="74AE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continue"/>
            <w:tcBorders>
              <w:left w:val="single" w:color="auto" w:sz="4" w:space="0"/>
              <w:right w:val="single" w:color="auto" w:sz="4" w:space="0"/>
            </w:tcBorders>
            <w:vAlign w:val="center"/>
          </w:tcPr>
          <w:p w14:paraId="1DCD5520">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1692" w:type="dxa"/>
            <w:vMerge w:val="continue"/>
            <w:tcBorders>
              <w:left w:val="nil"/>
              <w:right w:val="single" w:color="auto" w:sz="4" w:space="0"/>
            </w:tcBorders>
            <w:vAlign w:val="center"/>
          </w:tcPr>
          <w:p w14:paraId="183B3198">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3427" w:type="dxa"/>
            <w:tcBorders>
              <w:top w:val="single" w:color="auto" w:sz="4" w:space="0"/>
              <w:left w:val="nil"/>
              <w:right w:val="single" w:color="auto" w:sz="4" w:space="0"/>
            </w:tcBorders>
            <w:vAlign w:val="center"/>
          </w:tcPr>
          <w:p w14:paraId="284B61D6">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区域性主要断层探测数量</w:t>
            </w:r>
          </w:p>
        </w:tc>
        <w:tc>
          <w:tcPr>
            <w:tcW w:w="1290" w:type="dxa"/>
            <w:tcBorders>
              <w:top w:val="single" w:color="auto" w:sz="4" w:space="0"/>
              <w:left w:val="single" w:color="auto" w:sz="4" w:space="0"/>
              <w:right w:val="single" w:color="auto" w:sz="4" w:space="0"/>
            </w:tcBorders>
            <w:vAlign w:val="center"/>
          </w:tcPr>
          <w:p w14:paraId="33B7453D">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285km</w:t>
            </w:r>
          </w:p>
        </w:tc>
        <w:tc>
          <w:tcPr>
            <w:tcW w:w="1605" w:type="dxa"/>
            <w:tcBorders>
              <w:top w:val="single" w:color="auto" w:sz="4" w:space="0"/>
              <w:left w:val="single" w:color="auto" w:sz="4" w:space="0"/>
              <w:right w:val="single" w:color="auto" w:sz="4" w:space="0"/>
            </w:tcBorders>
            <w:vAlign w:val="center"/>
          </w:tcPr>
          <w:p w14:paraId="3FA15C69">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600km</w:t>
            </w:r>
          </w:p>
        </w:tc>
        <w:tc>
          <w:tcPr>
            <w:tcW w:w="1305" w:type="dxa"/>
            <w:vMerge w:val="continue"/>
            <w:tcBorders>
              <w:left w:val="single" w:color="auto" w:sz="4" w:space="0"/>
              <w:right w:val="single" w:color="auto" w:sz="4" w:space="0"/>
            </w:tcBorders>
            <w:vAlign w:val="center"/>
          </w:tcPr>
          <w:p w14:paraId="570C1F24">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14:paraId="7B84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vMerge w:val="continue"/>
            <w:tcBorders>
              <w:left w:val="single" w:color="auto" w:sz="4" w:space="0"/>
              <w:right w:val="single" w:color="auto" w:sz="4" w:space="0"/>
            </w:tcBorders>
            <w:vAlign w:val="center"/>
          </w:tcPr>
          <w:p w14:paraId="109C37FF">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1692" w:type="dxa"/>
            <w:vMerge w:val="continue"/>
            <w:tcBorders>
              <w:left w:val="nil"/>
              <w:right w:val="single" w:color="auto" w:sz="4" w:space="0"/>
            </w:tcBorders>
            <w:vAlign w:val="center"/>
          </w:tcPr>
          <w:p w14:paraId="26AE5A03">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c>
          <w:tcPr>
            <w:tcW w:w="3427" w:type="dxa"/>
            <w:tcBorders>
              <w:top w:val="single" w:color="auto" w:sz="4" w:space="0"/>
              <w:left w:val="nil"/>
              <w:right w:val="single" w:color="auto" w:sz="4" w:space="0"/>
            </w:tcBorders>
            <w:vAlign w:val="center"/>
          </w:tcPr>
          <w:p w14:paraId="083A21B3">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密集台阵探测面积</w:t>
            </w:r>
          </w:p>
        </w:tc>
        <w:tc>
          <w:tcPr>
            <w:tcW w:w="1290" w:type="dxa"/>
            <w:tcBorders>
              <w:top w:val="single" w:color="auto" w:sz="4" w:space="0"/>
              <w:left w:val="single" w:color="auto" w:sz="4" w:space="0"/>
              <w:right w:val="single" w:color="auto" w:sz="4" w:space="0"/>
            </w:tcBorders>
            <w:vAlign w:val="center"/>
          </w:tcPr>
          <w:p w14:paraId="1BBB5300">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0</w:t>
            </w:r>
          </w:p>
        </w:tc>
        <w:tc>
          <w:tcPr>
            <w:tcW w:w="1605" w:type="dxa"/>
            <w:tcBorders>
              <w:top w:val="single" w:color="auto" w:sz="4" w:space="0"/>
              <w:left w:val="single" w:color="auto" w:sz="4" w:space="0"/>
              <w:right w:val="single" w:color="auto" w:sz="4" w:space="0"/>
            </w:tcBorders>
            <w:vAlign w:val="center"/>
          </w:tcPr>
          <w:p w14:paraId="1A8BC501">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500km</w:t>
            </w:r>
            <w:r>
              <w:rPr>
                <w:rFonts w:hint="eastAsia" w:ascii="仿宋_GB2312" w:hAnsi="仿宋_GB2312" w:eastAsia="仿宋_GB2312" w:cs="仿宋_GB2312"/>
                <w:color w:val="000000" w:themeColor="text1"/>
                <w:kern w:val="0"/>
                <w:sz w:val="24"/>
                <w:szCs w:val="24"/>
                <w:vertAlign w:val="superscript"/>
                <w:lang w:bidi="ar"/>
                <w14:textFill>
                  <w14:solidFill>
                    <w14:schemeClr w14:val="tx1"/>
                  </w14:solidFill>
                </w14:textFill>
              </w:rPr>
              <w:t>2</w:t>
            </w:r>
          </w:p>
        </w:tc>
        <w:tc>
          <w:tcPr>
            <w:tcW w:w="1305" w:type="dxa"/>
            <w:vMerge w:val="continue"/>
            <w:tcBorders>
              <w:left w:val="single" w:color="auto" w:sz="4" w:space="0"/>
              <w:right w:val="single" w:color="auto" w:sz="4" w:space="0"/>
            </w:tcBorders>
            <w:vAlign w:val="center"/>
          </w:tcPr>
          <w:p w14:paraId="67F9B553">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p>
        </w:tc>
      </w:tr>
      <w:tr w14:paraId="6536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tcBorders>
              <w:left w:val="single" w:color="auto" w:sz="4" w:space="0"/>
              <w:right w:val="single" w:color="auto" w:sz="4" w:space="0"/>
            </w:tcBorders>
            <w:vAlign w:val="center"/>
          </w:tcPr>
          <w:p w14:paraId="500CFB87">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5</w:t>
            </w:r>
          </w:p>
        </w:tc>
        <w:tc>
          <w:tcPr>
            <w:tcW w:w="1692" w:type="dxa"/>
            <w:tcBorders>
              <w:top w:val="single" w:color="auto" w:sz="4" w:space="0"/>
              <w:left w:val="nil"/>
              <w:right w:val="single" w:color="auto" w:sz="4" w:space="0"/>
            </w:tcBorders>
            <w:vAlign w:val="center"/>
          </w:tcPr>
          <w:p w14:paraId="03275301">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地震灾害风险评估能力</w:t>
            </w:r>
          </w:p>
        </w:tc>
        <w:tc>
          <w:tcPr>
            <w:tcW w:w="3427" w:type="dxa"/>
            <w:tcBorders>
              <w:top w:val="single" w:color="auto" w:sz="4" w:space="0"/>
              <w:left w:val="nil"/>
              <w:bottom w:val="single" w:color="auto" w:sz="4" w:space="0"/>
              <w:right w:val="single" w:color="auto" w:sz="4" w:space="0"/>
            </w:tcBorders>
            <w:vAlign w:val="center"/>
          </w:tcPr>
          <w:p w14:paraId="449FA449">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地震灾害损失预评估实现“一县一报告”</w:t>
            </w:r>
          </w:p>
        </w:tc>
        <w:tc>
          <w:tcPr>
            <w:tcW w:w="1290" w:type="dxa"/>
            <w:tcBorders>
              <w:top w:val="single" w:color="auto" w:sz="4" w:space="0"/>
              <w:left w:val="single" w:color="auto" w:sz="4" w:space="0"/>
              <w:bottom w:val="single" w:color="auto" w:sz="4" w:space="0"/>
              <w:right w:val="single" w:color="auto" w:sz="4" w:space="0"/>
            </w:tcBorders>
            <w:vAlign w:val="center"/>
          </w:tcPr>
          <w:p w14:paraId="29FB9119">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40个</w:t>
            </w:r>
          </w:p>
        </w:tc>
        <w:tc>
          <w:tcPr>
            <w:tcW w:w="1605" w:type="dxa"/>
            <w:tcBorders>
              <w:top w:val="single" w:color="auto" w:sz="4" w:space="0"/>
              <w:left w:val="single" w:color="auto" w:sz="4" w:space="0"/>
              <w:bottom w:val="single" w:color="auto" w:sz="4" w:space="0"/>
              <w:right w:val="single" w:color="auto" w:sz="4" w:space="0"/>
            </w:tcBorders>
            <w:vAlign w:val="center"/>
          </w:tcPr>
          <w:p w14:paraId="034D690F">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全覆盖</w:t>
            </w:r>
          </w:p>
        </w:tc>
        <w:tc>
          <w:tcPr>
            <w:tcW w:w="1305" w:type="dxa"/>
            <w:tcBorders>
              <w:top w:val="single" w:color="auto" w:sz="4" w:space="0"/>
              <w:left w:val="single" w:color="auto" w:sz="4" w:space="0"/>
              <w:right w:val="single" w:color="auto" w:sz="4" w:space="0"/>
            </w:tcBorders>
            <w:vAlign w:val="center"/>
          </w:tcPr>
          <w:p w14:paraId="191DF925">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约束性</w:t>
            </w:r>
          </w:p>
        </w:tc>
      </w:tr>
      <w:tr w14:paraId="3F00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tcBorders>
              <w:left w:val="single" w:color="auto" w:sz="4" w:space="0"/>
              <w:right w:val="single" w:color="auto" w:sz="4" w:space="0"/>
            </w:tcBorders>
            <w:vAlign w:val="center"/>
          </w:tcPr>
          <w:p w14:paraId="08C89473">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6</w:t>
            </w:r>
          </w:p>
        </w:tc>
        <w:tc>
          <w:tcPr>
            <w:tcW w:w="1692" w:type="dxa"/>
            <w:tcBorders>
              <w:top w:val="single" w:color="auto" w:sz="4" w:space="0"/>
              <w:left w:val="nil"/>
              <w:right w:val="single" w:color="auto" w:sz="4" w:space="0"/>
            </w:tcBorders>
            <w:vAlign w:val="center"/>
          </w:tcPr>
          <w:p w14:paraId="6902AED8">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抗震设防要求水准</w:t>
            </w:r>
          </w:p>
        </w:tc>
        <w:tc>
          <w:tcPr>
            <w:tcW w:w="3427" w:type="dxa"/>
            <w:tcBorders>
              <w:top w:val="single" w:color="auto" w:sz="4" w:space="0"/>
              <w:left w:val="nil"/>
              <w:bottom w:val="single" w:color="auto" w:sz="4" w:space="0"/>
              <w:right w:val="single" w:color="auto" w:sz="4" w:space="0"/>
            </w:tcBorders>
            <w:vAlign w:val="center"/>
          </w:tcPr>
          <w:p w14:paraId="1F83D974">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新一代地震动参数区划图陆域地区7度及以上设防地区面积占比</w:t>
            </w:r>
          </w:p>
        </w:tc>
        <w:tc>
          <w:tcPr>
            <w:tcW w:w="1290" w:type="dxa"/>
            <w:tcBorders>
              <w:top w:val="single" w:color="auto" w:sz="4" w:space="0"/>
              <w:left w:val="single" w:color="auto" w:sz="4" w:space="0"/>
              <w:bottom w:val="single" w:color="auto" w:sz="4" w:space="0"/>
              <w:right w:val="single" w:color="auto" w:sz="4" w:space="0"/>
            </w:tcBorders>
            <w:vAlign w:val="center"/>
          </w:tcPr>
          <w:p w14:paraId="6642C6F4">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18.9%</w:t>
            </w:r>
          </w:p>
        </w:tc>
        <w:tc>
          <w:tcPr>
            <w:tcW w:w="1605" w:type="dxa"/>
            <w:tcBorders>
              <w:top w:val="single" w:color="auto" w:sz="4" w:space="0"/>
              <w:left w:val="single" w:color="auto" w:sz="4" w:space="0"/>
              <w:bottom w:val="single" w:color="auto" w:sz="4" w:space="0"/>
              <w:right w:val="single" w:color="auto" w:sz="4" w:space="0"/>
            </w:tcBorders>
            <w:vAlign w:val="center"/>
          </w:tcPr>
          <w:p w14:paraId="4FC55E4C">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30%</w:t>
            </w:r>
          </w:p>
        </w:tc>
        <w:tc>
          <w:tcPr>
            <w:tcW w:w="1305" w:type="dxa"/>
            <w:tcBorders>
              <w:top w:val="single" w:color="auto" w:sz="4" w:space="0"/>
              <w:left w:val="single" w:color="auto" w:sz="4" w:space="0"/>
              <w:right w:val="single" w:color="auto" w:sz="4" w:space="0"/>
            </w:tcBorders>
            <w:vAlign w:val="center"/>
          </w:tcPr>
          <w:p w14:paraId="67D7F07B">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约束性</w:t>
            </w:r>
          </w:p>
        </w:tc>
      </w:tr>
      <w:tr w14:paraId="5C5F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738" w:type="dxa"/>
            <w:tcBorders>
              <w:top w:val="nil"/>
              <w:left w:val="single" w:color="auto" w:sz="4" w:space="0"/>
              <w:right w:val="single" w:color="auto" w:sz="4" w:space="0"/>
            </w:tcBorders>
            <w:vAlign w:val="center"/>
          </w:tcPr>
          <w:p w14:paraId="44303128">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7</w:t>
            </w:r>
          </w:p>
        </w:tc>
        <w:tc>
          <w:tcPr>
            <w:tcW w:w="1692" w:type="dxa"/>
            <w:tcBorders>
              <w:top w:val="single" w:color="auto" w:sz="4" w:space="0"/>
              <w:left w:val="nil"/>
              <w:right w:val="single" w:color="auto" w:sz="4" w:space="0"/>
            </w:tcBorders>
            <w:vAlign w:val="center"/>
          </w:tcPr>
          <w:p w14:paraId="0837645D">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地震应急响应保障能力</w:t>
            </w:r>
          </w:p>
        </w:tc>
        <w:tc>
          <w:tcPr>
            <w:tcW w:w="3427" w:type="dxa"/>
            <w:tcBorders>
              <w:top w:val="single" w:color="auto" w:sz="4" w:space="0"/>
              <w:left w:val="nil"/>
              <w:bottom w:val="single" w:color="auto" w:sz="4" w:space="0"/>
              <w:right w:val="single" w:color="auto" w:sz="4" w:space="0"/>
            </w:tcBorders>
            <w:vAlign w:val="center"/>
          </w:tcPr>
          <w:p w14:paraId="47A8E1B3">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公众具备防震避险能力的比例</w:t>
            </w:r>
          </w:p>
        </w:tc>
        <w:tc>
          <w:tcPr>
            <w:tcW w:w="1290" w:type="dxa"/>
            <w:tcBorders>
              <w:top w:val="single" w:color="auto" w:sz="4" w:space="0"/>
              <w:left w:val="single" w:color="auto" w:sz="4" w:space="0"/>
              <w:bottom w:val="single" w:color="auto" w:sz="4" w:space="0"/>
              <w:right w:val="single" w:color="auto" w:sz="4" w:space="0"/>
            </w:tcBorders>
            <w:vAlign w:val="center"/>
          </w:tcPr>
          <w:p w14:paraId="55FF066B">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10%</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w:t>
            </w:r>
          </w:p>
        </w:tc>
        <w:tc>
          <w:tcPr>
            <w:tcW w:w="1605" w:type="dxa"/>
            <w:tcBorders>
              <w:top w:val="single" w:color="auto" w:sz="4" w:space="0"/>
              <w:left w:val="single" w:color="auto" w:sz="4" w:space="0"/>
              <w:bottom w:val="single" w:color="auto" w:sz="4" w:space="0"/>
              <w:right w:val="single" w:color="auto" w:sz="4" w:space="0"/>
            </w:tcBorders>
            <w:vAlign w:val="center"/>
          </w:tcPr>
          <w:p w14:paraId="5722E340">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22%</w:t>
            </w:r>
          </w:p>
        </w:tc>
        <w:tc>
          <w:tcPr>
            <w:tcW w:w="1305" w:type="dxa"/>
            <w:tcBorders>
              <w:top w:val="single" w:color="auto" w:sz="4" w:space="0"/>
              <w:left w:val="single" w:color="auto" w:sz="4" w:space="0"/>
              <w:right w:val="single" w:color="auto" w:sz="4" w:space="0"/>
            </w:tcBorders>
            <w:vAlign w:val="center"/>
          </w:tcPr>
          <w:p w14:paraId="3D735AE4">
            <w:pPr>
              <w:adjustRightInd w:val="0"/>
              <w:snapToGrid w:val="0"/>
              <w:spacing w:line="400" w:lineRule="exact"/>
              <w:jc w:val="center"/>
              <w:rPr>
                <w:rFonts w:hint="eastAsia" w:ascii="仿宋_GB2312" w:hAnsi="仿宋_GB2312" w:eastAsia="仿宋_GB2312" w:cs="仿宋_GB2312"/>
                <w:color w:val="000000" w:themeColor="text1"/>
                <w:kern w:val="0"/>
                <w:sz w:val="24"/>
                <w:szCs w:val="24"/>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约束性</w:t>
            </w:r>
          </w:p>
        </w:tc>
      </w:tr>
    </w:tbl>
    <w:p w14:paraId="3BDD2640">
      <w:pPr>
        <w:spacing w:line="360" w:lineRule="auto"/>
        <w:jc w:val="center"/>
        <w:outlineLvl w:val="0"/>
        <w:rPr>
          <w:rFonts w:hint="eastAsia" w:asciiTheme="minorEastAsia" w:hAnsiTheme="minorEastAsia" w:eastAsiaTheme="minorEastAsia"/>
          <w:vanish/>
          <w:color w:val="000000" w:themeColor="text1"/>
          <w14:textFill>
            <w14:solidFill>
              <w14:schemeClr w14:val="tx1"/>
            </w14:solidFill>
          </w14:textFill>
        </w:rPr>
      </w:pPr>
      <w:bookmarkStart w:id="25" w:name="_Toc457228683"/>
      <w:bookmarkEnd w:id="25"/>
      <w:bookmarkStart w:id="26" w:name="_Toc2199"/>
      <w:bookmarkEnd w:id="26"/>
      <w:bookmarkStart w:id="27" w:name="_Toc199376599"/>
      <w:r>
        <w:rPr>
          <w:rFonts w:asciiTheme="minorEastAsia" w:hAnsiTheme="minorEastAsia" w:eastAsiaTheme="minorEastAsia"/>
          <w:color w:val="000000" w:themeColor="text1"/>
          <w14:textFill>
            <w14:solidFill>
              <w14:schemeClr w14:val="tx1"/>
            </w14:solidFill>
          </w14:textFill>
        </w:rPr>
        <w:br w:type="page"/>
      </w:r>
    </w:p>
    <w:p w14:paraId="322CF4C8">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outlineLvl w:val="9"/>
        <w:rPr>
          <w:rFonts w:hint="eastAsia" w:ascii="方正黑体_GBK" w:hAnsi="方正黑体_GBK" w:eastAsia="方正黑体_GBK" w:cs="方正黑体_GBK"/>
          <w:sz w:val="32"/>
          <w:szCs w:val="32"/>
        </w:rPr>
      </w:pPr>
      <w:bookmarkStart w:id="28" w:name="_Toc206235975"/>
      <w:bookmarkStart w:id="29" w:name="_Toc221202145"/>
      <w:r>
        <w:rPr>
          <w:rFonts w:hint="eastAsia" w:ascii="方正黑体_GBK" w:hAnsi="方正黑体_GBK" w:eastAsia="方正黑体_GBK" w:cs="方正黑体_GBK"/>
          <w:sz w:val="32"/>
          <w:szCs w:val="32"/>
        </w:rPr>
        <w:t>第三章  主要任务</w:t>
      </w:r>
      <w:bookmarkEnd w:id="27"/>
      <w:bookmarkEnd w:id="28"/>
      <w:bookmarkEnd w:id="29"/>
    </w:p>
    <w:p w14:paraId="08ED8984">
      <w:pPr>
        <w:pStyle w:val="2"/>
        <w:keepNext w:val="0"/>
        <w:keepLines w:val="0"/>
        <w:pageBreakBefore w:val="0"/>
        <w:widowControl w:val="0"/>
        <w:kinsoku/>
        <w:wordWrap/>
        <w:overflowPunct/>
        <w:topLinePunct w:val="0"/>
        <w:autoSpaceDE w:val="0"/>
        <w:autoSpaceDN w:val="0"/>
        <w:bidi w:val="0"/>
        <w:adjustRightInd w:val="0"/>
        <w:snapToGrid/>
        <w:spacing w:after="0" w:line="240" w:lineRule="exact"/>
        <w:textAlignment w:val="auto"/>
        <w:outlineLvl w:val="9"/>
        <w:rPr>
          <w:rFonts w:hint="eastAsia"/>
        </w:rPr>
      </w:pPr>
    </w:p>
    <w:p w14:paraId="245369D8">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黑体_GBK" w:hAnsi="方正黑体_GBK" w:eastAsia="方正黑体_GBK" w:cs="方正黑体_GBK"/>
          <w:sz w:val="32"/>
          <w:szCs w:val="32"/>
        </w:rPr>
      </w:pPr>
      <w:bookmarkStart w:id="30" w:name="_Toc206235976"/>
      <w:bookmarkStart w:id="31" w:name="_Toc199376600"/>
      <w:bookmarkStart w:id="32" w:name="_Toc221202146"/>
      <w:bookmarkStart w:id="33" w:name="_Toc32687"/>
      <w:r>
        <w:rPr>
          <w:rFonts w:hint="eastAsia" w:ascii="方正黑体_GBK" w:hAnsi="方正黑体_GBK" w:eastAsia="方正黑体_GBK" w:cs="方正黑体_GBK"/>
          <w:sz w:val="32"/>
          <w:szCs w:val="32"/>
        </w:rPr>
        <w:t>一、提高地震监测预报预警效能</w:t>
      </w:r>
      <w:bookmarkEnd w:id="30"/>
      <w:bookmarkEnd w:id="31"/>
      <w:bookmarkEnd w:id="32"/>
    </w:p>
    <w:p w14:paraId="0185AC24">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34" w:name="_Toc221012374"/>
      <w:bookmarkStart w:id="35" w:name="_Toc218769790"/>
      <w:bookmarkStart w:id="36" w:name="_Toc201758862"/>
      <w:bookmarkStart w:id="37" w:name="_Toc216079291"/>
      <w:bookmarkStart w:id="38" w:name="_Toc221202147"/>
      <w:bookmarkStart w:id="39" w:name="_Toc206235977"/>
      <w:bookmarkStart w:id="40" w:name="_Toc212109844"/>
      <w:r>
        <w:rPr>
          <w:rFonts w:hint="eastAsia" w:ascii="方正楷体_GBK" w:hAnsi="方正楷体_GBK" w:eastAsia="方正楷体_GBK" w:cs="方正楷体_GBK"/>
          <w:sz w:val="32"/>
          <w:szCs w:val="32"/>
        </w:rPr>
        <w:t>（一）夯实地震监测基础。</w:t>
      </w:r>
      <w:bookmarkEnd w:id="34"/>
      <w:bookmarkEnd w:id="35"/>
      <w:bookmarkEnd w:id="36"/>
      <w:bookmarkEnd w:id="37"/>
      <w:bookmarkEnd w:id="38"/>
      <w:bookmarkEnd w:id="39"/>
      <w:bookmarkEnd w:id="40"/>
    </w:p>
    <w:p w14:paraId="1797E14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展空间、井下、海洋等地震观测技术，加强地震重点监视防御区、右江地震带、桂北地区、北部湾近海海域和边境等站网建设，加强地球物理观测站网建设，建立区域地震动衰减模型和速度结构模型，配备分布式光纤传感（DAS）、节点地震仪等观测设备。加强水库、核电、矿山、页岩气、火山、交通等专用地震监测台网建设与监管，提升爆破、滑坡、塌陷等非天然地震监测能力。</w:t>
      </w:r>
    </w:p>
    <w:p w14:paraId="509131EE">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41" w:name="_Toc221012375"/>
      <w:bookmarkStart w:id="42" w:name="_Toc221202148"/>
      <w:bookmarkStart w:id="43" w:name="_Toc216079292"/>
      <w:bookmarkStart w:id="44" w:name="_Toc212109845"/>
      <w:bookmarkStart w:id="45" w:name="_Toc218769791"/>
      <w:bookmarkStart w:id="46" w:name="_Toc206235978"/>
      <w:bookmarkStart w:id="47" w:name="_Toc201758863"/>
      <w:r>
        <w:rPr>
          <w:rFonts w:hint="eastAsia" w:ascii="方正楷体_GBK" w:hAnsi="方正楷体_GBK" w:eastAsia="方正楷体_GBK" w:cs="方正楷体_GBK"/>
          <w:sz w:val="32"/>
          <w:szCs w:val="32"/>
        </w:rPr>
        <w:t>（二）提升运行保障能力。</w:t>
      </w:r>
      <w:bookmarkEnd w:id="41"/>
      <w:bookmarkEnd w:id="42"/>
      <w:bookmarkEnd w:id="43"/>
      <w:bookmarkEnd w:id="44"/>
      <w:bookmarkEnd w:id="45"/>
      <w:bookmarkEnd w:id="46"/>
      <w:bookmarkEnd w:id="47"/>
    </w:p>
    <w:p w14:paraId="24E0D8D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健全监测站网安全运行体系，完善观测环境评估和保护机制，开展地震监测站观测技术和运维保障系统智能化升级，加强地震仪器检验工作。</w:t>
      </w:r>
    </w:p>
    <w:p w14:paraId="00C1BAA6">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48" w:name="_Toc216079293"/>
      <w:bookmarkStart w:id="49" w:name="_Toc201758864"/>
      <w:bookmarkStart w:id="50" w:name="_Toc218769792"/>
      <w:bookmarkStart w:id="51" w:name="_Toc212109846"/>
      <w:bookmarkStart w:id="52" w:name="_Toc206235979"/>
      <w:bookmarkStart w:id="53" w:name="_Toc221202149"/>
      <w:bookmarkStart w:id="54" w:name="_Toc221012376"/>
      <w:r>
        <w:rPr>
          <w:rFonts w:hint="eastAsia" w:ascii="方正楷体_GBK" w:hAnsi="方正楷体_GBK" w:eastAsia="方正楷体_GBK" w:cs="方正楷体_GBK"/>
          <w:sz w:val="32"/>
          <w:szCs w:val="32"/>
        </w:rPr>
        <w:t>（三）提高预报减灾实效。</w:t>
      </w:r>
      <w:bookmarkEnd w:id="48"/>
      <w:bookmarkEnd w:id="49"/>
      <w:bookmarkEnd w:id="50"/>
      <w:bookmarkEnd w:id="51"/>
      <w:bookmarkEnd w:id="52"/>
      <w:bookmarkEnd w:id="53"/>
      <w:bookmarkEnd w:id="54"/>
    </w:p>
    <w:p w14:paraId="608512C1">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探索基于动力学模型的数值预报，完善东南沿海构造协作区地震大形势判定，优化广西地区长中短临指标体系和震后趋势研判策略，推进综合概率预报，加强宏观观测点建设，完善重大震情评估通报管理制度，力争实现有减灾实效的“震前打招呼”。</w:t>
      </w:r>
    </w:p>
    <w:p w14:paraId="3D151762">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55" w:name="_Toc218769793"/>
      <w:bookmarkStart w:id="56" w:name="_Toc201758865"/>
      <w:bookmarkStart w:id="57" w:name="_Toc221202150"/>
      <w:bookmarkStart w:id="58" w:name="_Toc206235980"/>
      <w:bookmarkStart w:id="59" w:name="_Toc216079294"/>
      <w:bookmarkStart w:id="60" w:name="_Toc212109847"/>
      <w:bookmarkStart w:id="61" w:name="_Toc221012377"/>
      <w:r>
        <w:rPr>
          <w:rFonts w:hint="eastAsia" w:ascii="方正楷体_GBK" w:hAnsi="方正楷体_GBK" w:eastAsia="方正楷体_GBK" w:cs="方正楷体_GBK"/>
          <w:sz w:val="32"/>
          <w:szCs w:val="32"/>
        </w:rPr>
        <w:t>（四）强化速报预警服务。</w:t>
      </w:r>
      <w:bookmarkEnd w:id="55"/>
      <w:bookmarkEnd w:id="56"/>
      <w:bookmarkEnd w:id="57"/>
      <w:bookmarkEnd w:id="58"/>
      <w:bookmarkEnd w:id="59"/>
      <w:bookmarkEnd w:id="60"/>
      <w:bookmarkEnd w:id="61"/>
    </w:p>
    <w:bookmarkEnd w:id="33"/>
    <w:p w14:paraId="4EE0C244">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bookmarkStart w:id="62" w:name="_Toc199376601"/>
      <w:r>
        <w:rPr>
          <w:rFonts w:hint="eastAsia" w:ascii="仿宋_GB2312" w:hAnsi="仿宋_GB2312" w:eastAsia="仿宋_GB2312" w:cs="仿宋_GB2312"/>
          <w:sz w:val="32"/>
          <w:szCs w:val="32"/>
        </w:rPr>
        <w:t>升级地震预警中心，优化地震烈度速报与预警系统，进一步提高烈度速报精准度，推动广播、电视、手机等地震预警信息服务，加强重点场所预警装备配置。持续拓展地震预警在应急、教育、交通、水利、制造等行业应用，服务紧急处置。面向东盟国家提供地震监测预警信息和地震应急协同服务。</w:t>
      </w:r>
    </w:p>
    <w:p w14:paraId="66968DB5">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黑体_GBK" w:hAnsi="方正黑体_GBK" w:eastAsia="方正黑体_GBK" w:cs="方正黑体_GBK"/>
          <w:sz w:val="32"/>
          <w:szCs w:val="32"/>
        </w:rPr>
      </w:pPr>
      <w:bookmarkStart w:id="63" w:name="_Toc206235981"/>
      <w:bookmarkStart w:id="64" w:name="_Toc221202151"/>
      <w:r>
        <w:rPr>
          <w:rFonts w:hint="eastAsia" w:ascii="方正黑体_GBK" w:hAnsi="方正黑体_GBK" w:eastAsia="方正黑体_GBK" w:cs="方正黑体_GBK"/>
          <w:sz w:val="32"/>
          <w:szCs w:val="32"/>
        </w:rPr>
        <w:t>二、有效防范化解地震灾害风险</w:t>
      </w:r>
      <w:bookmarkEnd w:id="62"/>
      <w:bookmarkEnd w:id="63"/>
      <w:bookmarkEnd w:id="64"/>
    </w:p>
    <w:p w14:paraId="2CFFC2DA">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65" w:name="_Toc221012379"/>
      <w:bookmarkStart w:id="66" w:name="_Toc218769795"/>
      <w:bookmarkStart w:id="67" w:name="_Toc216079296"/>
      <w:bookmarkStart w:id="68" w:name="_Toc221202152"/>
      <w:bookmarkStart w:id="69" w:name="_Toc206235982"/>
      <w:bookmarkStart w:id="70" w:name="_Toc212109849"/>
      <w:bookmarkStart w:id="71" w:name="_Toc201758867"/>
      <w:bookmarkStart w:id="72" w:name="_Toc199376602"/>
      <w:r>
        <w:rPr>
          <w:rFonts w:hint="eastAsia" w:ascii="方正楷体_GBK" w:hAnsi="方正楷体_GBK" w:eastAsia="方正楷体_GBK" w:cs="方正楷体_GBK"/>
          <w:sz w:val="32"/>
          <w:szCs w:val="32"/>
        </w:rPr>
        <w:t>（一）开展大震震源探查。</w:t>
      </w:r>
      <w:bookmarkEnd w:id="65"/>
      <w:bookmarkEnd w:id="66"/>
      <w:bookmarkEnd w:id="67"/>
      <w:bookmarkEnd w:id="68"/>
    </w:p>
    <w:p w14:paraId="00BA13F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落实地震构造环境探查规划，推进广西大震潜在震源和主要断裂带地震构造环境探查，推进震源三维建模技术应用。优先推进北部湾城市群及近海海域、西部陆海新通道的地震构造环境探查，优先开展地震重点监视防御区、高烈度地区、面临直下型地震风险的城市活动断层探测。</w:t>
      </w:r>
    </w:p>
    <w:p w14:paraId="74837AEA">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73" w:name="_Toc221012380"/>
      <w:bookmarkStart w:id="74" w:name="_Toc221202153"/>
      <w:bookmarkStart w:id="75" w:name="_Toc216079297"/>
      <w:bookmarkStart w:id="76" w:name="_Toc218769796"/>
      <w:r>
        <w:rPr>
          <w:rFonts w:hint="eastAsia" w:ascii="方正楷体_GBK" w:hAnsi="方正楷体_GBK" w:eastAsia="方正楷体_GBK" w:cs="方正楷体_GBK"/>
          <w:sz w:val="32"/>
          <w:szCs w:val="32"/>
        </w:rPr>
        <w:t>（二）强化地震风险感知。</w:t>
      </w:r>
      <w:bookmarkEnd w:id="69"/>
      <w:bookmarkEnd w:id="70"/>
      <w:bookmarkEnd w:id="71"/>
      <w:bookmarkEnd w:id="73"/>
      <w:bookmarkEnd w:id="74"/>
      <w:bookmarkEnd w:id="75"/>
      <w:bookmarkEnd w:id="76"/>
    </w:p>
    <w:p w14:paraId="53150FF0">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推进地震灾害风险普查常态化更新，开展生命线系统、产业链供应链和重点区域地震灾害风险精细化评估。探索开展城市地震安全韧性评估，建设地震灾害重大风险监测网，加强对影响城市安全和社会稳定的重大基础设施、超高层建筑、重要场所等进行联网监测、风险感知和动态评估。</w:t>
      </w:r>
    </w:p>
    <w:bookmarkEnd w:id="72"/>
    <w:p w14:paraId="5C01D01A">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77" w:name="_Toc199376604"/>
      <w:bookmarkStart w:id="78" w:name="_Toc212109851"/>
      <w:bookmarkStart w:id="79" w:name="_Toc221012381"/>
      <w:bookmarkStart w:id="80" w:name="_Toc218769797"/>
      <w:bookmarkStart w:id="81" w:name="_Toc206235984"/>
      <w:bookmarkStart w:id="82" w:name="_Toc201758869"/>
      <w:bookmarkStart w:id="83" w:name="_Toc216079298"/>
      <w:bookmarkStart w:id="84" w:name="_Toc221202154"/>
      <w:bookmarkStart w:id="85" w:name="_Toc27334"/>
      <w:r>
        <w:rPr>
          <w:rFonts w:hint="eastAsia" w:ascii="方正楷体_GBK" w:hAnsi="方正楷体_GBK" w:eastAsia="方正楷体_GBK" w:cs="方正楷体_GBK"/>
          <w:sz w:val="32"/>
          <w:szCs w:val="32"/>
        </w:rPr>
        <w:t>（三）</w:t>
      </w:r>
      <w:bookmarkEnd w:id="77"/>
      <w:r>
        <w:rPr>
          <w:rFonts w:hint="eastAsia" w:ascii="方正楷体_GBK" w:hAnsi="方正楷体_GBK" w:eastAsia="方正楷体_GBK" w:cs="方正楷体_GBK"/>
          <w:sz w:val="32"/>
          <w:szCs w:val="32"/>
        </w:rPr>
        <w:t>夯实地震灾害防治。</w:t>
      </w:r>
      <w:bookmarkEnd w:id="78"/>
      <w:bookmarkEnd w:id="79"/>
      <w:bookmarkEnd w:id="80"/>
      <w:bookmarkEnd w:id="81"/>
      <w:bookmarkEnd w:id="82"/>
      <w:bookmarkEnd w:id="83"/>
      <w:bookmarkEnd w:id="84"/>
    </w:p>
    <w:bookmarkEnd w:id="85"/>
    <w:p w14:paraId="14321B1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传贯彻第六代地震动参数区划图，推进减隔震、结构健康诊断等技术在大型桥梁、高层建筑、地下空间、大型综合体、城市生命线工程等安全防控中的应用。加强农村房屋抗震设防管理，推广适合地域特点的自建房抗震设计、建设、加固实用技术方法，提升农村住房抗震能力。提高养老机构、托幼场所、康复机构等场所抗震能力，增强交通、电力、通信网络设施抗毁能力，加强输油气管线、核设施、重点污染治理设施等管理和维护。</w:t>
      </w:r>
    </w:p>
    <w:p w14:paraId="26601F70">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黑体_GBK" w:hAnsi="方正黑体_GBK" w:eastAsia="方正黑体_GBK" w:cs="方正黑体_GBK"/>
          <w:sz w:val="32"/>
          <w:szCs w:val="32"/>
        </w:rPr>
      </w:pPr>
      <w:bookmarkStart w:id="86" w:name="_Toc221202155"/>
      <w:bookmarkStart w:id="87" w:name="_Toc206235985"/>
      <w:bookmarkStart w:id="88" w:name="_Toc11913"/>
      <w:r>
        <w:rPr>
          <w:rFonts w:hint="eastAsia" w:ascii="方正黑体_GBK" w:hAnsi="方正黑体_GBK" w:eastAsia="方正黑体_GBK" w:cs="方正黑体_GBK"/>
          <w:sz w:val="32"/>
          <w:szCs w:val="32"/>
        </w:rPr>
        <w:t>三、切实强化地震灾害应对准备</w:t>
      </w:r>
      <w:bookmarkEnd w:id="86"/>
      <w:bookmarkEnd w:id="87"/>
      <w:bookmarkEnd w:id="88"/>
    </w:p>
    <w:p w14:paraId="5719162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89" w:name="_Toc221202156"/>
      <w:bookmarkStart w:id="90" w:name="_Toc221012383"/>
      <w:bookmarkStart w:id="91" w:name="_Toc218769799"/>
      <w:bookmarkStart w:id="92" w:name="_Toc201758871"/>
      <w:bookmarkStart w:id="93" w:name="_Toc216079300"/>
      <w:bookmarkStart w:id="94" w:name="_Toc206235986"/>
      <w:bookmarkStart w:id="95" w:name="_Toc212109853"/>
      <w:r>
        <w:rPr>
          <w:rFonts w:hint="eastAsia" w:ascii="方正楷体_GBK" w:hAnsi="方正楷体_GBK" w:eastAsia="方正楷体_GBK" w:cs="方正楷体_GBK"/>
          <w:sz w:val="32"/>
          <w:szCs w:val="32"/>
        </w:rPr>
        <w:t>（一）完善应急指挥机制。</w:t>
      </w:r>
      <w:bookmarkEnd w:id="89"/>
      <w:bookmarkEnd w:id="90"/>
      <w:bookmarkEnd w:id="91"/>
    </w:p>
    <w:p w14:paraId="3C2C2CEF">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健全运转高效的应急指挥体系，强化抗震救灾指挥机构牵头抓总和统筹协调作用，完善现场指挥部应急处置工作机制。开展地震应急预案修编，加强前期风险评估、资源调查和案例剖析，常态化开展演练。</w:t>
      </w:r>
    </w:p>
    <w:p w14:paraId="1D50191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96" w:name="_Toc221012384"/>
      <w:bookmarkStart w:id="97" w:name="_Toc221202157"/>
      <w:bookmarkStart w:id="98" w:name="_Toc218769800"/>
      <w:r>
        <w:rPr>
          <w:rFonts w:hint="eastAsia" w:ascii="方正楷体_GBK" w:hAnsi="方正楷体_GBK" w:eastAsia="方正楷体_GBK" w:cs="方正楷体_GBK"/>
          <w:sz w:val="32"/>
          <w:szCs w:val="32"/>
        </w:rPr>
        <w:t>（二）加强救援力量建设。</w:t>
      </w:r>
      <w:bookmarkEnd w:id="96"/>
      <w:bookmarkEnd w:id="97"/>
      <w:bookmarkEnd w:id="98"/>
    </w:p>
    <w:p w14:paraId="441B7086">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地震应急救援力量建设，增配先进应急处突装备，提高断路断网断电、高温等极端场景救援能力。加强综合性消防救援、专业救援、航空救援、医疗卫生救援和社会救援等队伍力量建设，建强交通、电力、通信、市政等抢险恢复力量，组建中国广西救援队。</w:t>
      </w:r>
    </w:p>
    <w:p w14:paraId="0586DAD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99" w:name="_Toc221202158"/>
      <w:bookmarkStart w:id="100" w:name="_Toc221012385"/>
      <w:bookmarkStart w:id="101" w:name="_Toc218769801"/>
      <w:r>
        <w:rPr>
          <w:rFonts w:hint="eastAsia" w:ascii="方正楷体_GBK" w:hAnsi="方正楷体_GBK" w:eastAsia="方正楷体_GBK" w:cs="方正楷体_GBK"/>
          <w:sz w:val="32"/>
          <w:szCs w:val="32"/>
        </w:rPr>
        <w:t>（三）强化应急保障服务。</w:t>
      </w:r>
      <w:bookmarkEnd w:id="99"/>
      <w:bookmarkEnd w:id="100"/>
      <w:bookmarkEnd w:id="101"/>
    </w:p>
    <w:p w14:paraId="6ED1A36F">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地震救灾物资储备，建立区域协同保障机制，完善生产、储备、调拨和紧急配送机制。优化电力、通信网络布局和结构，提升灾害多发易发地区网络覆盖水平。稳步推进“平急两用”公共基础设施建设，高标准建设应急避难场所，完善监管制度和管护机制。</w:t>
      </w:r>
    </w:p>
    <w:bookmarkEnd w:id="92"/>
    <w:bookmarkEnd w:id="93"/>
    <w:bookmarkEnd w:id="94"/>
    <w:bookmarkEnd w:id="95"/>
    <w:p w14:paraId="49BAF232">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黑体_GBK" w:hAnsi="方正黑体_GBK" w:eastAsia="方正黑体_GBK" w:cs="方正黑体_GBK"/>
          <w:sz w:val="32"/>
          <w:szCs w:val="32"/>
        </w:rPr>
      </w:pPr>
      <w:bookmarkStart w:id="102" w:name="_Toc221202159"/>
      <w:bookmarkStart w:id="103" w:name="_Toc206235989"/>
      <w:bookmarkStart w:id="104" w:name="_Toc199376605"/>
      <w:r>
        <w:rPr>
          <w:rFonts w:hint="eastAsia" w:ascii="方正黑体_GBK" w:hAnsi="方正黑体_GBK" w:eastAsia="方正黑体_GBK" w:cs="方正黑体_GBK"/>
          <w:sz w:val="32"/>
          <w:szCs w:val="32"/>
        </w:rPr>
        <w:t>四、加快完善防震减灾社会治理</w:t>
      </w:r>
      <w:bookmarkEnd w:id="102"/>
      <w:bookmarkEnd w:id="103"/>
    </w:p>
    <w:p w14:paraId="3EEB026A">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05" w:name="_Toc212109857"/>
      <w:bookmarkStart w:id="106" w:name="_Toc221202160"/>
      <w:bookmarkStart w:id="107" w:name="_Toc216079304"/>
      <w:bookmarkStart w:id="108" w:name="_Toc206235990"/>
      <w:bookmarkStart w:id="109" w:name="_Toc218769803"/>
      <w:bookmarkStart w:id="110" w:name="_Toc221012387"/>
      <w:bookmarkStart w:id="111" w:name="_Toc201758875"/>
      <w:r>
        <w:rPr>
          <w:rFonts w:hint="eastAsia" w:ascii="方正楷体_GBK" w:hAnsi="方正楷体_GBK" w:eastAsia="方正楷体_GBK" w:cs="方正楷体_GBK"/>
          <w:sz w:val="32"/>
          <w:szCs w:val="32"/>
        </w:rPr>
        <w:t>（一）提升</w:t>
      </w:r>
      <w:bookmarkStart w:id="112" w:name="_Hlk205561530"/>
      <w:r>
        <w:rPr>
          <w:rFonts w:hint="eastAsia" w:ascii="方正楷体_GBK" w:hAnsi="方正楷体_GBK" w:eastAsia="方正楷体_GBK" w:cs="方正楷体_GBK"/>
          <w:sz w:val="32"/>
          <w:szCs w:val="32"/>
        </w:rPr>
        <w:t>公众防震避险</w:t>
      </w:r>
      <w:bookmarkEnd w:id="112"/>
      <w:r>
        <w:rPr>
          <w:rFonts w:hint="eastAsia" w:ascii="方正楷体_GBK" w:hAnsi="方正楷体_GBK" w:eastAsia="方正楷体_GBK" w:cs="方正楷体_GBK"/>
          <w:sz w:val="32"/>
          <w:szCs w:val="32"/>
        </w:rPr>
        <w:t>能力。</w:t>
      </w:r>
      <w:bookmarkEnd w:id="105"/>
      <w:bookmarkEnd w:id="106"/>
      <w:bookmarkEnd w:id="107"/>
      <w:bookmarkEnd w:id="108"/>
      <w:bookmarkEnd w:id="109"/>
      <w:bookmarkEnd w:id="110"/>
    </w:p>
    <w:p w14:paraId="394CD4EC">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防震减灾科普资源库，开展防震减灾科普“六进”活动。深化学校地震安全教育，推进机关、企事业单位等常态化开展地震应急避险疏散演练。加强科学传播师、演练指导人员和志愿者培养，建设地震体验、应急避险和自救互救等技能实训基地，推进防震减灾内容进入各地科普馆、科技馆。</w:t>
      </w:r>
    </w:p>
    <w:bookmarkEnd w:id="111"/>
    <w:p w14:paraId="3F85CE9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13" w:name="_Toc221012388"/>
      <w:bookmarkStart w:id="114" w:name="_Toc206235992"/>
      <w:bookmarkStart w:id="115" w:name="_Toc201758877"/>
      <w:bookmarkStart w:id="116" w:name="_Toc221202161"/>
      <w:bookmarkStart w:id="117" w:name="_Toc212109859"/>
      <w:bookmarkStart w:id="118" w:name="_Toc218769804"/>
      <w:bookmarkStart w:id="119" w:name="_Toc216079306"/>
      <w:r>
        <w:rPr>
          <w:rFonts w:hint="eastAsia" w:ascii="方正楷体_GBK" w:hAnsi="方正楷体_GBK" w:eastAsia="方正楷体_GBK" w:cs="方正楷体_GBK"/>
          <w:sz w:val="32"/>
          <w:szCs w:val="32"/>
        </w:rPr>
        <w:t>（二）加强防震减灾法治建设。</w:t>
      </w:r>
      <w:bookmarkEnd w:id="113"/>
      <w:bookmarkEnd w:id="114"/>
      <w:bookmarkEnd w:id="115"/>
      <w:bookmarkEnd w:id="116"/>
      <w:bookmarkEnd w:id="117"/>
      <w:bookmarkEnd w:id="118"/>
      <w:bookmarkEnd w:id="119"/>
    </w:p>
    <w:p w14:paraId="0FF8C874">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广西防震减灾条例等法规规章的修制订，持续完善地震监测、抗震设防要求、公共服务等相关法规规章，推进地方行业标准制订，完善宣贯、实施及监督检查机制。依法加强地震监测设施和地震观测环境保护，加强应急管理（地震）综合行政执法队伍建设，强化行政执法监督，开展“九五”普法。</w:t>
      </w:r>
    </w:p>
    <w:p w14:paraId="2AB8DF09">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20" w:name="_Toc221012389"/>
      <w:bookmarkStart w:id="121" w:name="_Toc221202162"/>
      <w:r>
        <w:rPr>
          <w:rFonts w:hint="eastAsia" w:ascii="方正楷体_GBK" w:hAnsi="方正楷体_GBK" w:eastAsia="方正楷体_GBK" w:cs="方正楷体_GBK"/>
          <w:sz w:val="32"/>
          <w:szCs w:val="32"/>
        </w:rPr>
        <w:t>（三）加强基层综合治理。</w:t>
      </w:r>
      <w:bookmarkEnd w:id="120"/>
      <w:bookmarkEnd w:id="121"/>
    </w:p>
    <w:p w14:paraId="6010BFC5">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善跨部门信息互通、资源共享、协同治理的工作机制，完善防震减灾工作部署、检查和监督机制，强化地震重点监视防御区和年度重点危险区应对准备的常态化督导。推动市县防震减灾工作职责赋能清单落地，健全完善市县防震减灾工作培训体系。</w:t>
      </w:r>
    </w:p>
    <w:p w14:paraId="584E196D">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黑体_GBK" w:hAnsi="方正黑体_GBK" w:eastAsia="方正黑体_GBK" w:cs="方正黑体_GBK"/>
          <w:sz w:val="32"/>
          <w:szCs w:val="32"/>
        </w:rPr>
      </w:pPr>
      <w:bookmarkStart w:id="122" w:name="_Toc221202163"/>
      <w:bookmarkStart w:id="123" w:name="_Toc206235993"/>
      <w:r>
        <w:rPr>
          <w:rFonts w:hint="eastAsia" w:ascii="方正黑体_GBK" w:hAnsi="方正黑体_GBK" w:eastAsia="方正黑体_GBK" w:cs="方正黑体_GBK"/>
          <w:sz w:val="32"/>
          <w:szCs w:val="32"/>
        </w:rPr>
        <w:t>五、强化地震科技创新与数智赋能</w:t>
      </w:r>
      <w:bookmarkEnd w:id="104"/>
      <w:bookmarkEnd w:id="122"/>
      <w:bookmarkEnd w:id="123"/>
    </w:p>
    <w:p w14:paraId="39BE6FBC">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24" w:name="_Toc221012391"/>
      <w:bookmarkStart w:id="125" w:name="_Toc199376606"/>
      <w:bookmarkStart w:id="126" w:name="_Toc221202164"/>
      <w:bookmarkStart w:id="127" w:name="_Toc218769806"/>
      <w:bookmarkStart w:id="128" w:name="_Toc216079308"/>
      <w:bookmarkStart w:id="129" w:name="_Toc201758879"/>
      <w:bookmarkStart w:id="130" w:name="_Toc206235994"/>
      <w:bookmarkStart w:id="131" w:name="_Toc212109861"/>
      <w:r>
        <w:rPr>
          <w:rFonts w:hint="eastAsia" w:ascii="方正楷体_GBK" w:hAnsi="方正楷体_GBK" w:eastAsia="方正楷体_GBK" w:cs="方正楷体_GBK"/>
          <w:sz w:val="32"/>
          <w:szCs w:val="32"/>
        </w:rPr>
        <w:t>（一）强化智能应用。</w:t>
      </w:r>
      <w:bookmarkEnd w:id="124"/>
      <w:bookmarkEnd w:id="125"/>
      <w:bookmarkEnd w:id="126"/>
      <w:bookmarkEnd w:id="127"/>
      <w:bookmarkEnd w:id="128"/>
      <w:bookmarkEnd w:id="129"/>
      <w:bookmarkEnd w:id="130"/>
      <w:bookmarkEnd w:id="131"/>
    </w:p>
    <w:p w14:paraId="4716554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与企业、高校、研究所等单位的多学科、跨领域交流合作，加强人工智能在地震监测预报预警、震害防御、应急响应和公共服务等方面的业务化应用，统筹建立具有广西特色的防震减灾领域人工智能训练数据集，推动面向东盟的人工智能防震减灾技术的推广应用。</w:t>
      </w:r>
    </w:p>
    <w:p w14:paraId="0F5F545B">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32" w:name="_Toc221202165"/>
      <w:bookmarkStart w:id="133" w:name="_Toc212109862"/>
      <w:bookmarkStart w:id="134" w:name="_Toc218769807"/>
      <w:bookmarkStart w:id="135" w:name="_Toc221012392"/>
      <w:bookmarkStart w:id="136" w:name="_Toc216079309"/>
      <w:bookmarkStart w:id="137" w:name="_Toc206235995"/>
      <w:bookmarkStart w:id="138" w:name="_Toc201758880"/>
      <w:r>
        <w:rPr>
          <w:rFonts w:hint="eastAsia" w:ascii="方正楷体_GBK" w:hAnsi="方正楷体_GBK" w:eastAsia="方正楷体_GBK" w:cs="方正楷体_GBK"/>
          <w:sz w:val="32"/>
          <w:szCs w:val="32"/>
        </w:rPr>
        <w:t>（二）深化信息赋能。</w:t>
      </w:r>
      <w:bookmarkEnd w:id="132"/>
      <w:bookmarkEnd w:id="133"/>
      <w:bookmarkEnd w:id="134"/>
      <w:bookmarkEnd w:id="135"/>
      <w:bookmarkEnd w:id="136"/>
    </w:p>
    <w:p w14:paraId="1CA1ADF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强地震数字基础设施，提升核心业务数据传输效率和稳定性。建设网络安全防护管控平台，推进新技术在地震信息服务技术应用，开发多样化的地震信息服务智能化产品。完善地震数据管理制度和标准，加强地震数据共享和开发利用，推进数算一体化平台建设。</w:t>
      </w:r>
    </w:p>
    <w:p w14:paraId="22E99C23">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39" w:name="_Toc218769808"/>
      <w:bookmarkStart w:id="140" w:name="_Toc212109863"/>
      <w:bookmarkStart w:id="141" w:name="_Toc221012393"/>
      <w:bookmarkStart w:id="142" w:name="_Toc221202166"/>
      <w:bookmarkStart w:id="143" w:name="_Toc216079310"/>
      <w:r>
        <w:rPr>
          <w:rFonts w:hint="eastAsia" w:ascii="方正楷体_GBK" w:hAnsi="方正楷体_GBK" w:eastAsia="方正楷体_GBK" w:cs="方正楷体_GBK"/>
          <w:sz w:val="32"/>
          <w:szCs w:val="32"/>
        </w:rPr>
        <w:t>（三）加强地震科技平台建设。</w:t>
      </w:r>
      <w:bookmarkEnd w:id="137"/>
      <w:bookmarkEnd w:id="138"/>
      <w:bookmarkEnd w:id="139"/>
      <w:bookmarkEnd w:id="140"/>
      <w:bookmarkEnd w:id="141"/>
      <w:bookmarkEnd w:id="142"/>
      <w:bookmarkEnd w:id="143"/>
    </w:p>
    <w:p w14:paraId="55DF6F81">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开展新一代泛在感知地震预警、振动全谱系分析识别、工程抗震抗断等关键技术应用，联合高校、行业、企业、科研院所等建设野外科学观测研究站、地震灾害风险防治实验室，打造联合创新平台。建立</w:t>
      </w:r>
      <w:r>
        <w:rPr>
          <w:rFonts w:hint="eastAsia" w:ascii="仿宋_GB2312" w:hAnsi="仿宋_GB2312" w:eastAsia="仿宋_GB2312" w:cs="仿宋_GB2312"/>
          <w:sz w:val="32"/>
          <w:szCs w:val="32"/>
          <w:lang w:eastAsia="zh-CN"/>
        </w:rPr>
        <w:t>中国—东盟</w:t>
      </w:r>
      <w:r>
        <w:rPr>
          <w:rFonts w:hint="eastAsia" w:ascii="仿宋_GB2312" w:hAnsi="仿宋_GB2312" w:eastAsia="仿宋_GB2312" w:cs="仿宋_GB2312"/>
          <w:sz w:val="32"/>
          <w:szCs w:val="32"/>
        </w:rPr>
        <w:t>防震减灾科技交流合作机制。</w:t>
      </w:r>
    </w:p>
    <w:p w14:paraId="24817662">
      <w:pPr>
        <w:keepNext w:val="0"/>
        <w:keepLines w:val="0"/>
        <w:pageBreakBefore w:val="0"/>
        <w:widowControl w:val="0"/>
        <w:kinsoku/>
        <w:wordWrap/>
        <w:overflowPunct/>
        <w:topLinePunct w:val="0"/>
        <w:autoSpaceDE/>
        <w:autoSpaceDN/>
        <w:bidi w:val="0"/>
        <w:adjustRightInd/>
        <w:snapToGrid/>
        <w:spacing w:after="0" w:line="240" w:lineRule="exact"/>
        <w:ind w:firstLine="640" w:firstLineChars="200"/>
        <w:textAlignment w:val="auto"/>
        <w:outlineLvl w:val="9"/>
        <w:rPr>
          <w:rFonts w:hint="eastAsia" w:ascii="仿宋_GB2312" w:hAnsi="仿宋_GB2312" w:eastAsia="仿宋_GB2312" w:cs="仿宋_GB2312"/>
          <w:sz w:val="32"/>
          <w:szCs w:val="32"/>
        </w:rPr>
      </w:pPr>
    </w:p>
    <w:p w14:paraId="456F9E9E">
      <w:pPr>
        <w:keepNext w:val="0"/>
        <w:keepLines w:val="0"/>
        <w:pageBreakBefore w:val="0"/>
        <w:widowControl w:val="0"/>
        <w:kinsoku/>
        <w:wordWrap/>
        <w:overflowPunct/>
        <w:topLinePunct w:val="0"/>
        <w:autoSpaceDE/>
        <w:autoSpaceDN/>
        <w:bidi w:val="0"/>
        <w:adjustRightInd/>
        <w:snapToGrid/>
        <w:spacing w:after="0" w:line="590" w:lineRule="exact"/>
        <w:jc w:val="center"/>
        <w:textAlignment w:val="auto"/>
        <w:outlineLvl w:val="9"/>
        <w:rPr>
          <w:rFonts w:hint="eastAsia" w:ascii="方正黑体_GBK" w:hAnsi="方正黑体_GBK" w:eastAsia="方正黑体_GBK" w:cs="方正黑体_GBK"/>
          <w:sz w:val="32"/>
          <w:szCs w:val="32"/>
        </w:rPr>
      </w:pPr>
      <w:bookmarkStart w:id="144" w:name="_Toc206235997"/>
      <w:bookmarkStart w:id="145" w:name="_Toc221202167"/>
      <w:bookmarkStart w:id="146" w:name="_Toc199376610"/>
      <w:r>
        <w:rPr>
          <w:rFonts w:hint="eastAsia" w:ascii="方正黑体_GBK" w:hAnsi="方正黑体_GBK" w:eastAsia="方正黑体_GBK" w:cs="方正黑体_GBK"/>
          <w:sz w:val="32"/>
          <w:szCs w:val="32"/>
        </w:rPr>
        <w:t>第四章  重大工程项目</w:t>
      </w:r>
      <w:bookmarkEnd w:id="144"/>
      <w:bookmarkEnd w:id="145"/>
      <w:bookmarkEnd w:id="146"/>
    </w:p>
    <w:p w14:paraId="5256696F">
      <w:pPr>
        <w:keepNext w:val="0"/>
        <w:keepLines w:val="0"/>
        <w:pageBreakBefore w:val="0"/>
        <w:widowControl w:val="0"/>
        <w:kinsoku/>
        <w:wordWrap/>
        <w:overflowPunct/>
        <w:topLinePunct w:val="0"/>
        <w:autoSpaceDE/>
        <w:autoSpaceDN/>
        <w:bidi w:val="0"/>
        <w:adjustRightInd/>
        <w:snapToGrid/>
        <w:spacing w:after="0" w:line="240" w:lineRule="exact"/>
        <w:ind w:firstLine="420" w:firstLineChars="200"/>
        <w:textAlignment w:val="auto"/>
        <w:outlineLvl w:val="9"/>
        <w:rPr>
          <w:rFonts w:hint="eastAsia"/>
        </w:rPr>
      </w:pPr>
    </w:p>
    <w:p w14:paraId="34A1CC21">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坚持问题导向和需求导向，立足现有基础，统筹考虑“十五五”国家防震减灾规划重点工程项目，紧密结合我区经济社会发展需求，实施重大工程项目，全面支撑我区“十五五”时期防震减灾事业现代化。</w:t>
      </w:r>
    </w:p>
    <w:p w14:paraId="48857671">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黑体_GBK" w:hAnsi="方正黑体_GBK" w:eastAsia="方正黑体_GBK" w:cs="方正黑体_GBK"/>
          <w:sz w:val="32"/>
          <w:szCs w:val="32"/>
        </w:rPr>
      </w:pPr>
      <w:bookmarkStart w:id="147" w:name="_Toc221202168"/>
      <w:r>
        <w:rPr>
          <w:rFonts w:hint="eastAsia" w:ascii="方正黑体_GBK" w:hAnsi="方正黑体_GBK" w:eastAsia="方正黑体_GBK" w:cs="方正黑体_GBK"/>
          <w:sz w:val="32"/>
          <w:szCs w:val="32"/>
        </w:rPr>
        <w:t>一、中国—东盟地震监测预警中心及防震减灾实训基地</w:t>
      </w:r>
      <w:bookmarkEnd w:id="147"/>
    </w:p>
    <w:p w14:paraId="22F5FA4B">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48" w:name="_Toc22779"/>
      <w:bookmarkEnd w:id="148"/>
      <w:bookmarkStart w:id="149" w:name="_Toc19536"/>
      <w:bookmarkStart w:id="150" w:name="_Toc199376611"/>
      <w:bookmarkStart w:id="151" w:name="_Toc206235998"/>
      <w:bookmarkStart w:id="152" w:name="_Toc221202169"/>
      <w:r>
        <w:rPr>
          <w:rFonts w:hint="eastAsia" w:ascii="方正楷体_GBK" w:hAnsi="方正楷体_GBK" w:eastAsia="方正楷体_GBK" w:cs="方正楷体_GBK"/>
          <w:sz w:val="32"/>
          <w:szCs w:val="32"/>
        </w:rPr>
        <w:t>（一）广西地震监测预报预警强基工程</w:t>
      </w:r>
      <w:bookmarkEnd w:id="149"/>
      <w:bookmarkEnd w:id="150"/>
      <w:bookmarkEnd w:id="151"/>
      <w:bookmarkEnd w:id="152"/>
    </w:p>
    <w:p w14:paraId="4B3AECC0">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优化地震监测站网陆海空间观测布局，加快监测技术升级；强化站网业务系统运维建设；完善地震预警信息第三方转发管理机制，健全重点行业地震预警信息服务体系。</w:t>
      </w:r>
    </w:p>
    <w:p w14:paraId="20EC7646">
      <w:pPr>
        <w:pStyle w:val="2"/>
        <w:rPr>
          <w:rFonts w:hint="eastAsia"/>
        </w:rPr>
      </w:pPr>
    </w:p>
    <w:tbl>
      <w:tblPr>
        <w:tblStyle w:val="9"/>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972"/>
      </w:tblGrid>
      <w:tr w14:paraId="3349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c>
          <w:tcPr>
            <w:tcW w:w="8972" w:type="dxa"/>
            <w:tcBorders>
              <w:top w:val="single" w:color="auto" w:sz="4" w:space="0"/>
              <w:left w:val="single" w:color="auto" w:sz="4" w:space="0"/>
              <w:bottom w:val="single" w:color="auto" w:sz="4" w:space="0"/>
              <w:right w:val="single" w:color="auto" w:sz="4" w:space="0"/>
            </w:tcBorders>
          </w:tcPr>
          <w:p w14:paraId="44DC7E1B">
            <w:pPr>
              <w:adjustRightInd w:val="0"/>
              <w:snapToGrid w:val="0"/>
              <w:spacing w:line="440" w:lineRule="exact"/>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专栏1 广西地震监测</w:t>
            </w:r>
            <w:r>
              <w:rPr>
                <w:rFonts w:hint="eastAsia" w:ascii="仿宋_GB2312" w:hAnsi="仿宋_GB2312" w:eastAsia="仿宋_GB2312" w:cs="仿宋_GB2312"/>
                <w:color w:val="auto"/>
                <w:kern w:val="0"/>
                <w:sz w:val="24"/>
                <w:szCs w:val="24"/>
              </w:rPr>
              <w:t>站网优智升级</w:t>
            </w:r>
            <w:r>
              <w:rPr>
                <w:rFonts w:hint="eastAsia" w:ascii="仿宋_GB2312" w:hAnsi="仿宋_GB2312" w:eastAsia="仿宋_GB2312" w:cs="仿宋_GB2312"/>
                <w:color w:val="auto"/>
                <w:kern w:val="0"/>
                <w:sz w:val="24"/>
                <w:szCs w:val="24"/>
                <w:lang w:bidi="ar"/>
              </w:rPr>
              <w:t>工程</w:t>
            </w:r>
          </w:p>
        </w:tc>
      </w:tr>
      <w:tr w14:paraId="544D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c>
          <w:tcPr>
            <w:tcW w:w="8972" w:type="dxa"/>
            <w:tcBorders>
              <w:top w:val="single" w:color="auto" w:sz="4" w:space="0"/>
              <w:left w:val="single" w:color="auto" w:sz="4" w:space="0"/>
              <w:bottom w:val="single" w:color="auto" w:sz="4" w:space="0"/>
              <w:right w:val="single" w:color="auto" w:sz="4" w:space="0"/>
            </w:tcBorders>
          </w:tcPr>
          <w:p w14:paraId="531851F5">
            <w:pPr>
              <w:widowControl/>
              <w:numPr>
                <w:ilvl w:val="255"/>
                <w:numId w:val="0"/>
              </w:numPr>
              <w:spacing w:line="440" w:lineRule="exact"/>
              <w:jc w:val="left"/>
              <w:rPr>
                <w:rFonts w:hint="eastAsia" w:ascii="仿宋_GB2312" w:hAnsi="仿宋_GB2312" w:eastAsia="仿宋_GB2312" w:cs="仿宋_GB2312"/>
                <w:bCs/>
                <w:color w:val="auto"/>
                <w:kern w:val="0"/>
                <w:sz w:val="24"/>
                <w:szCs w:val="24"/>
                <w:lang w:bidi="ar"/>
              </w:rPr>
            </w:pPr>
            <w:r>
              <w:rPr>
                <w:rFonts w:hint="eastAsia" w:ascii="仿宋_GB2312" w:hAnsi="仿宋_GB2312" w:eastAsia="仿宋_GB2312" w:cs="仿宋_GB2312"/>
                <w:b/>
                <w:color w:val="auto"/>
                <w:kern w:val="0"/>
                <w:sz w:val="24"/>
                <w:szCs w:val="24"/>
                <w:lang w:bidi="ar"/>
              </w:rPr>
              <w:t>地震监测站网优化升级工程。</w:t>
            </w:r>
            <w:r>
              <w:rPr>
                <w:rFonts w:hint="eastAsia" w:ascii="仿宋_GB2312" w:hAnsi="仿宋_GB2312" w:eastAsia="仿宋_GB2312" w:cs="仿宋_GB2312"/>
                <w:bCs/>
                <w:color w:val="auto"/>
                <w:kern w:val="0"/>
                <w:sz w:val="24"/>
                <w:szCs w:val="24"/>
                <w:lang w:bidi="ar"/>
              </w:rPr>
              <w:t>在重点区域新建和改造升级307个站点，建设实时密集台阵流动观测系统。</w:t>
            </w:r>
            <w:r>
              <w:rPr>
                <w:rFonts w:hint="eastAsia" w:ascii="仿宋_GB2312" w:hAnsi="仿宋_GB2312" w:eastAsia="仿宋_GB2312" w:cs="仿宋_GB2312"/>
                <w:bCs/>
                <w:color w:val="auto"/>
                <w:kern w:val="0"/>
                <w:sz w:val="24"/>
                <w:szCs w:val="24"/>
              </w:rPr>
              <w:t>在平陆运河沿线新建2个测震台站。</w:t>
            </w:r>
          </w:p>
          <w:p w14:paraId="22EF2D0C">
            <w:pPr>
              <w:widowControl/>
              <w:numPr>
                <w:ilvl w:val="255"/>
                <w:numId w:val="0"/>
              </w:numPr>
              <w:spacing w:line="440" w:lineRule="exact"/>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
                <w:color w:val="auto"/>
                <w:kern w:val="0"/>
                <w:sz w:val="24"/>
                <w:szCs w:val="24"/>
                <w:lang w:bidi="ar"/>
              </w:rPr>
              <w:t>地球物理加密观测网。</w:t>
            </w:r>
            <w:r>
              <w:rPr>
                <w:rFonts w:hint="eastAsia" w:ascii="仿宋_GB2312" w:hAnsi="仿宋_GB2312" w:eastAsia="仿宋_GB2312" w:cs="仿宋_GB2312"/>
                <w:bCs/>
                <w:color w:val="auto"/>
                <w:kern w:val="0"/>
                <w:sz w:val="24"/>
                <w:szCs w:val="24"/>
              </w:rPr>
              <w:t>新建8个地球物理站点，改造4个定点形变台站、32个GNSS基本站和1个流动重力观测网，购置2台相对重力仪，升级2个监测站观测山洞</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建设北斗/GNSS数据处理与服务平台1个。</w:t>
            </w:r>
          </w:p>
          <w:p w14:paraId="6D955EB1">
            <w:pPr>
              <w:widowControl/>
              <w:numPr>
                <w:ilvl w:val="255"/>
                <w:numId w:val="0"/>
              </w:numPr>
              <w:spacing w:line="440" w:lineRule="exact"/>
              <w:jc w:val="left"/>
              <w:rPr>
                <w:rFonts w:hint="eastAsia" w:ascii="仿宋_GB2312" w:hAnsi="仿宋_GB2312" w:eastAsia="仿宋_GB2312" w:cs="仿宋_GB2312"/>
                <w:b/>
                <w:bCs w:val="0"/>
                <w:color w:val="auto"/>
                <w:kern w:val="0"/>
                <w:sz w:val="24"/>
                <w:szCs w:val="24"/>
                <w:lang w:bidi="ar"/>
              </w:rPr>
            </w:pPr>
            <w:r>
              <w:rPr>
                <w:rFonts w:hint="eastAsia" w:ascii="仿宋_GB2312" w:hAnsi="仿宋_GB2312" w:eastAsia="仿宋_GB2312" w:cs="仿宋_GB2312"/>
                <w:b/>
                <w:color w:val="auto"/>
                <w:kern w:val="0"/>
                <w:sz w:val="24"/>
                <w:szCs w:val="24"/>
                <w:lang w:bidi="ar"/>
              </w:rPr>
              <w:t>新建广西北部湾海洋地震监测网。</w:t>
            </w:r>
            <w:r>
              <w:rPr>
                <w:rFonts w:hint="eastAsia" w:ascii="仿宋_GB2312" w:hAnsi="仿宋_GB2312" w:eastAsia="仿宋_GB2312" w:cs="仿宋_GB2312"/>
                <w:bCs/>
                <w:color w:val="auto"/>
                <w:kern w:val="0"/>
                <w:sz w:val="24"/>
                <w:szCs w:val="24"/>
                <w:lang w:bidi="ar"/>
              </w:rPr>
              <w:t>基于北部湾海域6个平台站新建海上平台多参量监测台阵，布设海底分布式光纤传感探测（DAS）线缆站1座，新建重力基准台，新建北部湾海洋地震服务平台。</w:t>
            </w:r>
          </w:p>
          <w:p w14:paraId="63443174">
            <w:pPr>
              <w:widowControl/>
              <w:numPr>
                <w:ilvl w:val="255"/>
                <w:numId w:val="0"/>
              </w:numPr>
              <w:spacing w:line="440" w:lineRule="exact"/>
              <w:jc w:val="left"/>
              <w:rPr>
                <w:rFonts w:hint="eastAsia" w:ascii="仿宋_GB2312" w:hAnsi="仿宋_GB2312" w:eastAsia="仿宋_GB2312" w:cs="仿宋_GB2312"/>
                <w:bCs/>
                <w:color w:val="auto"/>
                <w:kern w:val="0"/>
                <w:sz w:val="24"/>
                <w:szCs w:val="24"/>
                <w:lang w:bidi="ar"/>
              </w:rPr>
            </w:pPr>
            <w:r>
              <w:rPr>
                <w:rFonts w:hint="eastAsia" w:ascii="仿宋_GB2312" w:hAnsi="仿宋_GB2312" w:eastAsia="仿宋_GB2312" w:cs="仿宋_GB2312"/>
                <w:b/>
                <w:color w:val="auto"/>
                <w:kern w:val="0"/>
                <w:sz w:val="24"/>
                <w:szCs w:val="24"/>
                <w:lang w:bidi="ar"/>
              </w:rPr>
              <w:t>地震监测站网系统安全运行保障工程</w:t>
            </w:r>
            <w:r>
              <w:rPr>
                <w:rFonts w:hint="eastAsia" w:ascii="仿宋_GB2312" w:hAnsi="仿宋_GB2312" w:eastAsia="仿宋_GB2312" w:cs="仿宋_GB2312"/>
                <w:bCs/>
                <w:color w:val="auto"/>
                <w:kern w:val="0"/>
                <w:sz w:val="24"/>
                <w:szCs w:val="24"/>
                <w:lang w:bidi="ar"/>
              </w:rPr>
              <w:t>。建设地震监测站网健康智能诊断一体化平台和地震监测设备全生命周期管理平台，部署预警信息安全防篡改防护系统。</w:t>
            </w:r>
          </w:p>
          <w:p w14:paraId="545CCE17">
            <w:pPr>
              <w:pStyle w:val="8"/>
              <w:numPr>
                <w:ilvl w:val="255"/>
                <w:numId w:val="0"/>
              </w:numPr>
              <w:spacing w:before="0" w:beforeAutospacing="0" w:after="0" w:line="440" w:lineRule="exact"/>
              <w:rPr>
                <w:rFonts w:hint="eastAsia" w:ascii="仿宋_GB2312" w:hAnsi="仿宋_GB2312" w:eastAsia="仿宋_GB2312" w:cs="仿宋_GB2312"/>
                <w:bCs/>
                <w:color w:val="auto"/>
                <w:lang w:bidi="ar"/>
              </w:rPr>
            </w:pPr>
            <w:r>
              <w:rPr>
                <w:rFonts w:hint="eastAsia" w:ascii="仿宋_GB2312" w:hAnsi="仿宋_GB2312" w:eastAsia="仿宋_GB2312" w:cs="仿宋_GB2312"/>
                <w:b/>
                <w:color w:val="auto"/>
                <w:kern w:val="0"/>
                <w:sz w:val="24"/>
                <w:szCs w:val="24"/>
                <w:lang w:bidi="ar"/>
              </w:rPr>
              <w:t>广西地震预警信息发布与服务工程</w:t>
            </w:r>
            <w:r>
              <w:rPr>
                <w:rFonts w:hint="eastAsia" w:ascii="仿宋_GB2312" w:hAnsi="仿宋_GB2312" w:eastAsia="仿宋_GB2312" w:cs="仿宋_GB2312"/>
                <w:bCs/>
                <w:color w:val="auto"/>
                <w:kern w:val="0"/>
                <w:sz w:val="24"/>
                <w:szCs w:val="24"/>
                <w:lang w:bidi="ar"/>
              </w:rPr>
              <w:t>。搭建人口密集场所等地震预警典型应用场景，建设专用预警终端、第三方转发服务等地震预警信息发布。</w:t>
            </w:r>
          </w:p>
        </w:tc>
      </w:tr>
    </w:tbl>
    <w:p w14:paraId="3D608C7C">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53" w:name="_Toc221202170"/>
      <w:bookmarkStart w:id="154" w:name="_Toc206236000"/>
      <w:bookmarkStart w:id="155" w:name="_Toc199376613"/>
      <w:bookmarkStart w:id="156" w:name="_Toc206235999"/>
      <w:bookmarkStart w:id="157" w:name="_Toc199376612"/>
    </w:p>
    <w:p w14:paraId="1692206B">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p>
    <w:p w14:paraId="161208BB">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（二）建设</w:t>
      </w:r>
      <w:r>
        <w:rPr>
          <w:rFonts w:hint="eastAsia" w:ascii="方正楷体_GBK" w:hAnsi="方正楷体_GBK" w:eastAsia="方正楷体_GBK" w:cs="方正楷体_GBK"/>
          <w:sz w:val="32"/>
          <w:szCs w:val="32"/>
          <w:lang w:eastAsia="zh-CN"/>
        </w:rPr>
        <w:t>中国—东盟</w:t>
      </w:r>
      <w:r>
        <w:rPr>
          <w:rFonts w:hint="eastAsia" w:ascii="方正楷体_GBK" w:hAnsi="方正楷体_GBK" w:eastAsia="方正楷体_GBK" w:cs="方正楷体_GBK"/>
          <w:sz w:val="32"/>
          <w:szCs w:val="32"/>
        </w:rPr>
        <w:t>地震监测预警中心</w:t>
      </w:r>
      <w:bookmarkEnd w:id="153"/>
    </w:p>
    <w:p w14:paraId="28562B78">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w:t>
      </w:r>
      <w:r>
        <w:rPr>
          <w:rFonts w:hint="eastAsia" w:ascii="仿宋_GB2312" w:hAnsi="仿宋_GB2312" w:eastAsia="仿宋_GB2312" w:cs="仿宋_GB2312"/>
          <w:sz w:val="32"/>
          <w:szCs w:val="32"/>
          <w:lang w:eastAsia="zh-CN"/>
        </w:rPr>
        <w:t>中国—东盟</w:t>
      </w:r>
      <w:r>
        <w:rPr>
          <w:rFonts w:hint="eastAsia" w:ascii="仿宋_GB2312" w:hAnsi="仿宋_GB2312" w:eastAsia="仿宋_GB2312" w:cs="仿宋_GB2312"/>
          <w:sz w:val="32"/>
          <w:szCs w:val="32"/>
        </w:rPr>
        <w:t>地震监测预警中心以及地震灾害风险评估与震后快速评估系统。</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9072"/>
      </w:tblGrid>
      <w:tr w14:paraId="4F97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072" w:type="dxa"/>
            <w:tcBorders>
              <w:top w:val="single" w:color="auto" w:sz="4" w:space="0"/>
              <w:left w:val="single" w:color="auto" w:sz="4" w:space="0"/>
              <w:bottom w:val="single" w:color="auto" w:sz="4" w:space="0"/>
              <w:right w:val="single" w:color="auto" w:sz="4" w:space="0"/>
            </w:tcBorders>
          </w:tcPr>
          <w:p w14:paraId="4372ACB7">
            <w:pPr>
              <w:adjustRightInd w:val="0"/>
              <w:snapToGrid w:val="0"/>
              <w:spacing w:line="440" w:lineRule="exact"/>
              <w:jc w:val="center"/>
              <w:rPr>
                <w:rFonts w:hint="eastAsia" w:ascii="仿宋_GB2312" w:hAnsi="仿宋_GB2312" w:eastAsia="仿宋_GB2312" w:cs="仿宋_GB2312"/>
                <w:color w:val="000000" w:themeColor="text1"/>
                <w:sz w:val="24"/>
                <w:szCs w:val="22"/>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 xml:space="preserve">专栏2 </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中国—东盟</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地震监测预警中心</w:t>
            </w:r>
          </w:p>
        </w:tc>
      </w:tr>
      <w:tr w14:paraId="190C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072" w:type="dxa"/>
            <w:tcBorders>
              <w:top w:val="single" w:color="auto" w:sz="4" w:space="0"/>
              <w:left w:val="single" w:color="auto" w:sz="4" w:space="0"/>
              <w:bottom w:val="single" w:color="auto" w:sz="4" w:space="0"/>
              <w:right w:val="single" w:color="auto" w:sz="4" w:space="0"/>
            </w:tcBorders>
            <w:vAlign w:val="center"/>
          </w:tcPr>
          <w:p w14:paraId="3CBE5F8A">
            <w:pPr>
              <w:pStyle w:val="8"/>
              <w:numPr>
                <w:ilvl w:val="255"/>
                <w:numId w:val="0"/>
              </w:numPr>
              <w:spacing w:line="440" w:lineRule="exact"/>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建设中国—东盟地震监测预警中心。</w:t>
            </w:r>
            <w:r>
              <w:rPr>
                <w:rFonts w:hint="eastAsia" w:ascii="仿宋_GB2312" w:hAnsi="仿宋_GB2312" w:eastAsia="仿宋_GB2312" w:cs="仿宋_GB2312"/>
                <w:bCs/>
                <w:color w:val="000000" w:themeColor="text1"/>
                <w14:textFill>
                  <w14:solidFill>
                    <w14:schemeClr w14:val="tx1"/>
                  </w14:solidFill>
                </w14:textFill>
              </w:rPr>
              <w:t>建设智能通信网络、数据汇集与存储系统、人工智能实时监测系统、地震预警信息智能发布服务平台、智能监控与技术支撑系统等五个子系统建设，建设地震预警紧急处置系统。</w:t>
            </w:r>
          </w:p>
          <w:p w14:paraId="009833BE">
            <w:pPr>
              <w:pStyle w:val="8"/>
              <w:numPr>
                <w:ilvl w:val="255"/>
                <w:numId w:val="0"/>
              </w:numPr>
              <w:spacing w:line="440" w:lineRule="exact"/>
              <w:rPr>
                <w:rFonts w:hint="eastAsia" w:ascii="仿宋_GB2312" w:hAnsi="仿宋_GB2312" w:eastAsia="仿宋_GB2312" w:cs="仿宋_GB2312"/>
                <w:b/>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建设</w:t>
            </w:r>
            <w:r>
              <w:rPr>
                <w:rFonts w:hint="eastAsia" w:ascii="仿宋_GB2312" w:hAnsi="仿宋_GB2312" w:eastAsia="仿宋_GB2312" w:cs="仿宋_GB2312"/>
                <w:b/>
                <w:color w:val="000000" w:themeColor="text1"/>
                <w:lang w:eastAsia="zh-CN"/>
                <w14:textFill>
                  <w14:solidFill>
                    <w14:schemeClr w14:val="tx1"/>
                  </w14:solidFill>
                </w14:textFill>
              </w:rPr>
              <w:t>中国—东盟</w:t>
            </w:r>
            <w:r>
              <w:rPr>
                <w:rFonts w:hint="eastAsia" w:ascii="仿宋_GB2312" w:hAnsi="仿宋_GB2312" w:eastAsia="仿宋_GB2312" w:cs="仿宋_GB2312"/>
                <w:b/>
                <w:color w:val="000000" w:themeColor="text1"/>
                <w14:textFill>
                  <w14:solidFill>
                    <w14:schemeClr w14:val="tx1"/>
                  </w14:solidFill>
                </w14:textFill>
              </w:rPr>
              <w:t>地震灾害风险评估与震后快速评估系统。</w:t>
            </w:r>
            <w:r>
              <w:rPr>
                <w:rFonts w:hint="eastAsia" w:ascii="仿宋_GB2312" w:hAnsi="仿宋_GB2312" w:eastAsia="仿宋_GB2312" w:cs="仿宋_GB2312"/>
                <w:bCs/>
                <w:color w:val="000000" w:themeColor="text1"/>
                <w14:textFill>
                  <w14:solidFill>
                    <w14:schemeClr w14:val="tx1"/>
                  </w14:solidFill>
                </w14:textFill>
              </w:rPr>
              <w:t>整合区域活动断层、遥感、高分影像等多源数据，建立人口、建筑物等承灾体与易损性评估模型，开展区域地震风险精细化评估与震后灾害快速研判。</w:t>
            </w:r>
          </w:p>
        </w:tc>
      </w:tr>
    </w:tbl>
    <w:p w14:paraId="36CFAD17">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方正楷体_GBK" w:hAnsi="方正楷体_GBK" w:eastAsia="方正楷体_GBK" w:cs="方正楷体_GBK"/>
          <w:sz w:val="32"/>
          <w:szCs w:val="32"/>
        </w:rPr>
      </w:pPr>
      <w:bookmarkStart w:id="158" w:name="_Toc221202171"/>
      <w:r>
        <w:rPr>
          <w:rFonts w:hint="eastAsia" w:ascii="方正楷体_GBK" w:hAnsi="方正楷体_GBK" w:eastAsia="方正楷体_GBK" w:cs="方正楷体_GBK"/>
          <w:sz w:val="32"/>
          <w:szCs w:val="32"/>
        </w:rPr>
        <w:t>（三）建设中国—东盟防震减灾实训基地</w:t>
      </w:r>
      <w:bookmarkEnd w:id="158"/>
    </w:p>
    <w:p w14:paraId="7760B426">
      <w:pPr>
        <w:keepNext w:val="0"/>
        <w:keepLines w:val="0"/>
        <w:pageBreakBefore w:val="0"/>
        <w:widowControl w:val="0"/>
        <w:kinsoku/>
        <w:wordWrap/>
        <w:overflowPunct/>
        <w:topLinePunct w:val="0"/>
        <w:autoSpaceDE/>
        <w:autoSpaceDN/>
        <w:bidi w:val="0"/>
        <w:adjustRightInd/>
        <w:snapToGrid/>
        <w:spacing w:after="0" w:line="59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建设集科研创新、技术合作、实景实训、成果展示、科普体验、国际交流、综合保障于一体的</w:t>
      </w:r>
      <w:r>
        <w:rPr>
          <w:rFonts w:hint="eastAsia" w:ascii="仿宋_GB2312" w:hAnsi="仿宋_GB2312" w:eastAsia="仿宋_GB2312" w:cs="仿宋_GB2312"/>
          <w:sz w:val="32"/>
          <w:szCs w:val="32"/>
          <w:lang w:eastAsia="zh-CN"/>
        </w:rPr>
        <w:t>中国—东盟</w:t>
      </w:r>
      <w:r>
        <w:rPr>
          <w:rFonts w:hint="eastAsia" w:ascii="仿宋_GB2312" w:hAnsi="仿宋_GB2312" w:eastAsia="仿宋_GB2312" w:cs="仿宋_GB2312"/>
          <w:sz w:val="32"/>
          <w:szCs w:val="32"/>
        </w:rPr>
        <w:t>防震减灾实训基地。</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9072"/>
      </w:tblGrid>
      <w:tr w14:paraId="6BCD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072" w:type="dxa"/>
            <w:tcBorders>
              <w:top w:val="single" w:color="auto" w:sz="4" w:space="0"/>
              <w:left w:val="single" w:color="auto" w:sz="4" w:space="0"/>
              <w:bottom w:val="single" w:color="auto" w:sz="4" w:space="0"/>
              <w:right w:val="single" w:color="auto" w:sz="4" w:space="0"/>
            </w:tcBorders>
          </w:tcPr>
          <w:p w14:paraId="41F43E6D">
            <w:pPr>
              <w:keepNext w:val="0"/>
              <w:keepLines w:val="0"/>
              <w:pageBreakBefore w:val="0"/>
              <w:kinsoku/>
              <w:wordWrap/>
              <w:overflowPunct/>
              <w:topLinePunct w:val="0"/>
              <w:autoSpaceDE/>
              <w:autoSpaceDN/>
              <w:bidi w:val="0"/>
              <w:adjustRightInd w:val="0"/>
              <w:snapToGrid w:val="0"/>
              <w:spacing w:beforeAutospacing="0" w:after="0" w:line="440" w:lineRule="exact"/>
              <w:jc w:val="center"/>
              <w:textAlignment w:val="auto"/>
              <w:outlineLvl w:val="9"/>
              <w:rPr>
                <w:rFonts w:hint="eastAsia" w:ascii="仿宋_GB2312" w:hAnsi="仿宋_GB2312" w:eastAsia="仿宋_GB2312" w:cs="仿宋_GB2312"/>
                <w:color w:val="000000" w:themeColor="text1"/>
                <w:sz w:val="24"/>
                <w:szCs w:val="22"/>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 xml:space="preserve">专栏3 </w:t>
            </w:r>
            <w:r>
              <w:rPr>
                <w:rFonts w:hint="eastAsia" w:ascii="仿宋_GB2312" w:hAnsi="仿宋_GB2312" w:eastAsia="仿宋_GB2312" w:cs="仿宋_GB2312"/>
                <w:color w:val="000000" w:themeColor="text1"/>
                <w:kern w:val="0"/>
                <w:sz w:val="24"/>
                <w:szCs w:val="24"/>
                <w:lang w:eastAsia="zh-CN" w:bidi="ar"/>
                <w14:textFill>
                  <w14:solidFill>
                    <w14:schemeClr w14:val="tx1"/>
                  </w14:solidFill>
                </w14:textFill>
              </w:rPr>
              <w:t>中国—东盟</w:t>
            </w:r>
            <w:r>
              <w:rPr>
                <w:rFonts w:hint="eastAsia" w:ascii="仿宋_GB2312" w:hAnsi="仿宋_GB2312" w:eastAsia="仿宋_GB2312" w:cs="仿宋_GB2312"/>
                <w:color w:val="000000" w:themeColor="text1"/>
                <w:kern w:val="0"/>
                <w:sz w:val="24"/>
                <w:szCs w:val="24"/>
                <w:lang w:bidi="ar"/>
                <w14:textFill>
                  <w14:solidFill>
                    <w14:schemeClr w14:val="tx1"/>
                  </w14:solidFill>
                </w14:textFill>
              </w:rPr>
              <w:t>防震减灾实训基地</w:t>
            </w:r>
          </w:p>
        </w:tc>
      </w:tr>
      <w:tr w14:paraId="680B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072" w:type="dxa"/>
            <w:tcBorders>
              <w:top w:val="single" w:color="auto" w:sz="4" w:space="0"/>
              <w:left w:val="single" w:color="auto" w:sz="4" w:space="0"/>
              <w:bottom w:val="single" w:color="auto" w:sz="4" w:space="0"/>
              <w:right w:val="single" w:color="auto" w:sz="4" w:space="0"/>
            </w:tcBorders>
            <w:vAlign w:val="center"/>
          </w:tcPr>
          <w:p w14:paraId="1D8D748F">
            <w:pPr>
              <w:pStyle w:val="8"/>
              <w:keepNext w:val="0"/>
              <w:keepLines w:val="0"/>
              <w:pageBreakBefore w:val="0"/>
              <w:numPr>
                <w:ilvl w:val="255"/>
                <w:numId w:val="0"/>
              </w:numPr>
              <w:kinsoku/>
              <w:wordWrap/>
              <w:overflowPunct/>
              <w:topLinePunct w:val="0"/>
              <w:autoSpaceDE/>
              <w:autoSpaceDN/>
              <w:bidi w:val="0"/>
              <w:spacing w:before="0" w:beforeAutospacing="0" w:after="0" w:line="440" w:lineRule="exact"/>
              <w:ind w:left="0" w:firstLine="0"/>
              <w:textAlignment w:val="auto"/>
              <w:outlineLvl w:val="9"/>
              <w:rPr>
                <w:rFonts w:hint="eastAsia" w:ascii="仿宋_GB2312" w:hAnsi="仿宋_GB2312" w:eastAsia="仿宋_GB2312" w:cs="仿宋_GB2312"/>
                <w:b/>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lang w:bidi="ar"/>
                <w14:textFill>
                  <w14:solidFill>
                    <w14:schemeClr w14:val="tx1"/>
                  </w14:solidFill>
                </w14:textFill>
              </w:rPr>
              <w:t>建设沉浸式主题体验区。</w:t>
            </w:r>
            <w:r>
              <w:rPr>
                <w:rFonts w:hint="eastAsia" w:ascii="仿宋_GB2312" w:hAnsi="仿宋_GB2312" w:eastAsia="仿宋_GB2312" w:cs="仿宋_GB2312"/>
                <w:bCs/>
                <w:color w:val="000000" w:themeColor="text1"/>
                <w:lang w:bidi="ar"/>
                <w14:textFill>
                  <w14:solidFill>
                    <w14:schemeClr w14:val="tx1"/>
                  </w14:solidFill>
                </w14:textFill>
              </w:rPr>
              <w:t>改造设置从预警到震后救援的连贯场景及任务，将避险和自救互救技能融入闯关环节，面向社会公众提供体验与技能培训，增强公众自救互救能力和应急响应技能。</w:t>
            </w:r>
          </w:p>
          <w:p w14:paraId="1742A110">
            <w:pPr>
              <w:pStyle w:val="8"/>
              <w:keepNext w:val="0"/>
              <w:keepLines w:val="0"/>
              <w:pageBreakBefore w:val="0"/>
              <w:numPr>
                <w:ilvl w:val="255"/>
                <w:numId w:val="0"/>
              </w:numPr>
              <w:kinsoku/>
              <w:wordWrap/>
              <w:overflowPunct/>
              <w:topLinePunct w:val="0"/>
              <w:autoSpaceDE/>
              <w:autoSpaceDN/>
              <w:bidi w:val="0"/>
              <w:spacing w:before="0" w:beforeAutospacing="0" w:after="0" w:line="440" w:lineRule="exact"/>
              <w:ind w:left="0" w:firstLine="0"/>
              <w:textAlignment w:val="auto"/>
              <w:outlineLvl w:val="9"/>
              <w:rPr>
                <w:rFonts w:hint="eastAsia" w:ascii="仿宋_GB2312" w:hAnsi="仿宋_GB2312" w:eastAsia="仿宋_GB2312" w:cs="仿宋_GB2312"/>
                <w:b/>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lang w:bidi="ar"/>
                <w14:textFill>
                  <w14:solidFill>
                    <w14:schemeClr w14:val="tx1"/>
                  </w14:solidFill>
                </w14:textFill>
              </w:rPr>
              <w:t>建设创新实践区。</w:t>
            </w:r>
            <w:r>
              <w:rPr>
                <w:rFonts w:hint="eastAsia" w:ascii="仿宋_GB2312" w:hAnsi="仿宋_GB2312" w:eastAsia="仿宋_GB2312" w:cs="仿宋_GB2312"/>
                <w:bCs/>
                <w:color w:val="000000" w:themeColor="text1"/>
                <w:lang w:bidi="ar"/>
                <w14:textFill>
                  <w14:solidFill>
                    <w14:schemeClr w14:val="tx1"/>
                  </w14:solidFill>
                </w14:textFill>
              </w:rPr>
              <w:t>改造建设面向东盟监测预警、震害防御、科普宣传等产品研发、实践验证和成果转化内容区域，开展面向东盟防震减灾人工智能创新应用。</w:t>
            </w:r>
          </w:p>
          <w:p w14:paraId="1C8CC155">
            <w:pPr>
              <w:pStyle w:val="8"/>
              <w:keepNext w:val="0"/>
              <w:keepLines w:val="0"/>
              <w:pageBreakBefore w:val="0"/>
              <w:numPr>
                <w:ilvl w:val="255"/>
                <w:numId w:val="0"/>
              </w:numPr>
              <w:kinsoku/>
              <w:wordWrap/>
              <w:overflowPunct/>
              <w:topLinePunct w:val="0"/>
              <w:autoSpaceDE/>
              <w:autoSpaceDN/>
              <w:bidi w:val="0"/>
              <w:spacing w:before="0" w:beforeAutospacing="0" w:after="0" w:line="440" w:lineRule="exact"/>
              <w:ind w:left="0" w:firstLine="0"/>
              <w:textAlignment w:val="auto"/>
              <w:outlineLvl w:val="9"/>
              <w:rPr>
                <w:rFonts w:hint="eastAsia" w:ascii="仿宋_GB2312" w:hAnsi="仿宋_GB2312" w:eastAsia="仿宋_GB2312" w:cs="仿宋_GB2312"/>
                <w:b/>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lang w:bidi="ar"/>
                <w14:textFill>
                  <w14:solidFill>
                    <w14:schemeClr w14:val="tx1"/>
                  </w14:solidFill>
                </w14:textFill>
              </w:rPr>
              <w:t>建设</w:t>
            </w:r>
            <w:r>
              <w:rPr>
                <w:rFonts w:hint="eastAsia" w:ascii="仿宋_GB2312" w:hAnsi="仿宋_GB2312" w:eastAsia="仿宋_GB2312" w:cs="仿宋_GB2312"/>
                <w:b/>
                <w:color w:val="000000" w:themeColor="text1"/>
                <w:lang w:eastAsia="zh-CN" w:bidi="ar"/>
                <w14:textFill>
                  <w14:solidFill>
                    <w14:schemeClr w14:val="tx1"/>
                  </w14:solidFill>
                </w14:textFill>
              </w:rPr>
              <w:t>中国—东盟</w:t>
            </w:r>
            <w:r>
              <w:rPr>
                <w:rFonts w:hint="eastAsia" w:ascii="仿宋_GB2312" w:hAnsi="仿宋_GB2312" w:eastAsia="仿宋_GB2312" w:cs="仿宋_GB2312"/>
                <w:b/>
                <w:color w:val="000000" w:themeColor="text1"/>
                <w:lang w:bidi="ar"/>
                <w14:textFill>
                  <w14:solidFill>
                    <w14:schemeClr w14:val="tx1"/>
                  </w14:solidFill>
                </w14:textFill>
              </w:rPr>
              <w:t>防震减灾成果展示与体验中心。</w:t>
            </w:r>
            <w:r>
              <w:rPr>
                <w:rFonts w:hint="eastAsia" w:ascii="仿宋_GB2312" w:hAnsi="仿宋_GB2312" w:eastAsia="仿宋_GB2312" w:cs="仿宋_GB2312"/>
                <w:bCs/>
                <w:color w:val="000000" w:themeColor="text1"/>
                <w:lang w:bidi="ar"/>
                <w14:textFill>
                  <w14:solidFill>
                    <w14:schemeClr w14:val="tx1"/>
                  </w14:solidFill>
                </w14:textFill>
              </w:rPr>
              <w:t>改建建设协同会商及指挥演训和防震减灾成果展示等功能。</w:t>
            </w:r>
          </w:p>
          <w:p w14:paraId="5F77E625">
            <w:pPr>
              <w:pStyle w:val="8"/>
              <w:keepNext w:val="0"/>
              <w:keepLines w:val="0"/>
              <w:pageBreakBefore w:val="0"/>
              <w:numPr>
                <w:ilvl w:val="255"/>
                <w:numId w:val="0"/>
              </w:numPr>
              <w:kinsoku/>
              <w:wordWrap/>
              <w:overflowPunct/>
              <w:topLinePunct w:val="0"/>
              <w:autoSpaceDE/>
              <w:autoSpaceDN/>
              <w:bidi w:val="0"/>
              <w:spacing w:before="0" w:beforeAutospacing="0" w:after="0" w:line="440" w:lineRule="exact"/>
              <w:ind w:left="0" w:firstLine="0"/>
              <w:textAlignment w:val="auto"/>
              <w:outlineLvl w:val="9"/>
              <w:rPr>
                <w:rFonts w:hint="eastAsia" w:ascii="仿宋_GB2312" w:hAnsi="仿宋_GB2312" w:eastAsia="仿宋_GB2312" w:cs="仿宋_GB2312"/>
                <w:b/>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lang w:bidi="ar"/>
                <w14:textFill>
                  <w14:solidFill>
                    <w14:schemeClr w14:val="tx1"/>
                  </w14:solidFill>
                </w14:textFill>
              </w:rPr>
              <w:t>改造业务配套用房。</w:t>
            </w:r>
            <w:r>
              <w:rPr>
                <w:rFonts w:hint="eastAsia" w:ascii="仿宋_GB2312" w:hAnsi="仿宋_GB2312" w:eastAsia="仿宋_GB2312" w:cs="仿宋_GB2312"/>
                <w:bCs/>
                <w:color w:val="000000" w:themeColor="text1"/>
                <w:lang w:bidi="ar"/>
                <w14:textFill>
                  <w14:solidFill>
                    <w14:schemeClr w14:val="tx1"/>
                  </w14:solidFill>
                </w14:textFill>
              </w:rPr>
              <w:t>优先采用调剂、置换、租用等方式，主要建设内容包括设备购置、土建工程、电气工程、给排水工程、消防工程、暖通工程、配套道路工程、绿化工程等附属配套工程。</w:t>
            </w:r>
          </w:p>
        </w:tc>
      </w:tr>
    </w:tbl>
    <w:p w14:paraId="7C6327A1">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outlineLvl w:val="9"/>
        <w:rPr>
          <w:rFonts w:hint="eastAsia" w:ascii="方正楷体_GBK" w:hAnsi="方正楷体_GBK" w:eastAsia="方正楷体_GBK" w:cs="方正楷体_GBK"/>
          <w:sz w:val="32"/>
          <w:szCs w:val="32"/>
        </w:rPr>
      </w:pPr>
      <w:bookmarkStart w:id="159" w:name="_Toc221202172"/>
      <w:r>
        <w:rPr>
          <w:rFonts w:hint="eastAsia" w:ascii="方正楷体_GBK" w:hAnsi="方正楷体_GBK" w:eastAsia="方正楷体_GBK" w:cs="方正楷体_GBK"/>
          <w:sz w:val="32"/>
          <w:szCs w:val="32"/>
        </w:rPr>
        <w:t>（四）地震大数据与人工智能创新中心</w:t>
      </w:r>
    </w:p>
    <w:p w14:paraId="5D82E0EB">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以数算协同信息服务平台为基础底座，特色地震数据集为数据支撑，智慧系统为服务平台</w:t>
      </w:r>
      <w:bookmarkStart w:id="190" w:name="_GoBack"/>
      <w:r>
        <w:rPr>
          <w:rFonts w:hint="eastAsia" w:ascii="仿宋_GB2312" w:hAnsi="仿宋_GB2312" w:eastAsia="仿宋_GB2312" w:cs="仿宋_GB2312"/>
          <w:sz w:val="32"/>
          <w:szCs w:val="32"/>
        </w:rPr>
        <w:t>，</w:t>
      </w:r>
      <w:bookmarkEnd w:id="190"/>
      <w:r>
        <w:rPr>
          <w:rFonts w:hint="eastAsia" w:ascii="仿宋_GB2312" w:hAnsi="仿宋_GB2312" w:eastAsia="仿宋_GB2312" w:cs="仿宋_GB2312"/>
          <w:sz w:val="32"/>
          <w:szCs w:val="32"/>
        </w:rPr>
        <w:t>人工智能应用场景为创新引擎，构建集“算力—数据—智能—服务”于一体的防震减灾信息化新体系。</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9072"/>
      </w:tblGrid>
      <w:tr w14:paraId="230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072" w:type="dxa"/>
            <w:tcBorders>
              <w:top w:val="single" w:color="auto" w:sz="4" w:space="0"/>
              <w:left w:val="single" w:color="auto" w:sz="4" w:space="0"/>
              <w:bottom w:val="single" w:color="auto" w:sz="4" w:space="0"/>
              <w:right w:val="single" w:color="auto" w:sz="4" w:space="0"/>
            </w:tcBorders>
          </w:tcPr>
          <w:p w14:paraId="7DA1E014">
            <w:pPr>
              <w:keepNext w:val="0"/>
              <w:keepLines w:val="0"/>
              <w:pageBreakBefore w:val="0"/>
              <w:kinsoku/>
              <w:wordWrap/>
              <w:overflowPunct/>
              <w:topLinePunct w:val="0"/>
              <w:autoSpaceDE/>
              <w:autoSpaceDN/>
              <w:bidi w:val="0"/>
              <w:adjustRightInd w:val="0"/>
              <w:snapToGrid w:val="0"/>
              <w:spacing w:after="0" w:line="320" w:lineRule="exact"/>
              <w:jc w:val="center"/>
              <w:textAlignment w:val="auto"/>
              <w:outlineLvl w:val="9"/>
              <w:rPr>
                <w:rFonts w:hint="eastAsia" w:ascii="仿宋_GB2312" w:hAnsi="仿宋_GB2312" w:eastAsia="仿宋_GB2312" w:cs="仿宋_GB2312"/>
                <w:color w:val="000000" w:themeColor="text1"/>
                <w:sz w:val="24"/>
                <w:szCs w:val="22"/>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专栏4 地震大数据与人工智能创新中心</w:t>
            </w:r>
          </w:p>
        </w:tc>
      </w:tr>
      <w:tr w14:paraId="4360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9072" w:type="dxa"/>
            <w:tcBorders>
              <w:top w:val="single" w:color="auto" w:sz="4" w:space="0"/>
              <w:left w:val="single" w:color="auto" w:sz="4" w:space="0"/>
              <w:bottom w:val="single" w:color="auto" w:sz="4" w:space="0"/>
              <w:right w:val="single" w:color="auto" w:sz="4" w:space="0"/>
            </w:tcBorders>
            <w:vAlign w:val="center"/>
          </w:tcPr>
          <w:p w14:paraId="39F337E4">
            <w:pPr>
              <w:pStyle w:val="8"/>
              <w:keepNext w:val="0"/>
              <w:keepLines w:val="0"/>
              <w:pageBreakBefore w:val="0"/>
              <w:numPr>
                <w:ilvl w:val="255"/>
                <w:numId w:val="0"/>
              </w:numPr>
              <w:kinsoku/>
              <w:wordWrap/>
              <w:overflowPunct/>
              <w:topLinePunct w:val="0"/>
              <w:autoSpaceDE/>
              <w:autoSpaceDN/>
              <w:bidi w:val="0"/>
              <w:spacing w:before="0" w:beforeAutospacing="0" w:after="0" w:line="320" w:lineRule="exact"/>
              <w:textAlignment w:val="auto"/>
              <w:outlineLvl w:val="9"/>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建立地震数算协同信息服务平台。</w:t>
            </w:r>
            <w:r>
              <w:rPr>
                <w:rFonts w:hint="eastAsia" w:ascii="仿宋_GB2312" w:hAnsi="仿宋_GB2312" w:eastAsia="仿宋_GB2312" w:cs="仿宋_GB2312"/>
                <w:bCs/>
                <w:color w:val="000000" w:themeColor="text1"/>
                <w14:textFill>
                  <w14:solidFill>
                    <w14:schemeClr w14:val="tx1"/>
                  </w14:solidFill>
                </w14:textFill>
              </w:rPr>
              <w:t>搭建高性能智算的环境，构建统一资源协同调度服务与智能化安全防护系统，建立业务集成一体化平台。</w:t>
            </w:r>
          </w:p>
          <w:p w14:paraId="7FFE77E2">
            <w:pPr>
              <w:pStyle w:val="8"/>
              <w:keepNext w:val="0"/>
              <w:keepLines w:val="0"/>
              <w:pageBreakBefore w:val="0"/>
              <w:numPr>
                <w:ilvl w:val="255"/>
                <w:numId w:val="0"/>
              </w:numPr>
              <w:kinsoku/>
              <w:wordWrap/>
              <w:overflowPunct/>
              <w:topLinePunct w:val="0"/>
              <w:autoSpaceDE/>
              <w:autoSpaceDN/>
              <w:bidi w:val="0"/>
              <w:spacing w:before="0" w:beforeAutospacing="0" w:after="0" w:line="320" w:lineRule="exact"/>
              <w:textAlignment w:val="auto"/>
              <w:outlineLvl w:val="9"/>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构建广西特色地震数据集。</w:t>
            </w:r>
            <w:r>
              <w:rPr>
                <w:rFonts w:hint="eastAsia" w:ascii="仿宋_GB2312" w:hAnsi="仿宋_GB2312" w:eastAsia="仿宋_GB2312" w:cs="仿宋_GB2312"/>
                <w:bCs/>
                <w:color w:val="000000" w:themeColor="text1"/>
                <w14:textFill>
                  <w14:solidFill>
                    <w14:schemeClr w14:val="tx1"/>
                  </w14:solidFill>
                </w14:textFill>
              </w:rPr>
              <w:t>构建测震、强震动、地球物理、海域地震等监测预报数据子集，地震构造、工程场地等探查区划评估数据子集，支撑本地化地震大模型的建立。</w:t>
            </w:r>
          </w:p>
          <w:p w14:paraId="5C7DD67B">
            <w:pPr>
              <w:pStyle w:val="8"/>
              <w:keepNext w:val="0"/>
              <w:keepLines w:val="0"/>
              <w:pageBreakBefore w:val="0"/>
              <w:numPr>
                <w:ilvl w:val="255"/>
                <w:numId w:val="0"/>
              </w:numPr>
              <w:kinsoku/>
              <w:wordWrap/>
              <w:overflowPunct/>
              <w:topLinePunct w:val="0"/>
              <w:autoSpaceDE/>
              <w:autoSpaceDN/>
              <w:bidi w:val="0"/>
              <w:spacing w:before="0" w:beforeAutospacing="0" w:after="0" w:line="320" w:lineRule="exact"/>
              <w:textAlignment w:val="auto"/>
              <w:outlineLvl w:val="9"/>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拓展广西人工智能地震应用场景。</w:t>
            </w:r>
            <w:r>
              <w:rPr>
                <w:rFonts w:hint="eastAsia" w:ascii="仿宋_GB2312" w:hAnsi="仿宋_GB2312" w:eastAsia="仿宋_GB2312" w:cs="仿宋_GB2312"/>
                <w:bCs/>
                <w:color w:val="000000" w:themeColor="text1"/>
                <w14:textFill>
                  <w14:solidFill>
                    <w14:schemeClr w14:val="tx1"/>
                  </w14:solidFill>
                </w14:textFill>
              </w:rPr>
              <w:t>建立地震震灾防御智慧服务平台、地震智慧预测及异常识别系统和广西关键金属矿区塌陷隐患监测与风险识别系统。</w:t>
            </w:r>
          </w:p>
        </w:tc>
      </w:tr>
    </w:tbl>
    <w:p w14:paraId="1169CFAD">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二、地震风险探查监测感知工程</w:t>
      </w:r>
      <w:bookmarkEnd w:id="159"/>
    </w:p>
    <w:p w14:paraId="638FF536">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outlineLvl w:val="9"/>
        <w:rPr>
          <w:rFonts w:hint="eastAsia" w:ascii="方正楷体_GBK" w:hAnsi="方正楷体_GBK" w:eastAsia="方正楷体_GBK" w:cs="方正楷体_GBK"/>
          <w:sz w:val="32"/>
          <w:szCs w:val="32"/>
        </w:rPr>
      </w:pPr>
      <w:bookmarkStart w:id="160" w:name="_Toc221202173"/>
      <w:r>
        <w:rPr>
          <w:rFonts w:hint="eastAsia" w:ascii="方正楷体_GBK" w:hAnsi="方正楷体_GBK" w:eastAsia="方正楷体_GBK" w:cs="方正楷体_GBK"/>
          <w:sz w:val="32"/>
          <w:szCs w:val="32"/>
        </w:rPr>
        <w:t>（一）广西大震震源探查示范工程</w:t>
      </w:r>
      <w:bookmarkEnd w:id="154"/>
      <w:bookmarkEnd w:id="155"/>
      <w:bookmarkEnd w:id="160"/>
    </w:p>
    <w:p w14:paraId="754A7F3C">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开展广西主要地震构造探查，构建广西重点地区三维地震构造框架模型，识别大震和中强地震震源体并评价其地震危险性，建立地震灾害风险防治实验室。</w:t>
      </w:r>
    </w:p>
    <w:tbl>
      <w:tblPr>
        <w:tblStyle w:val="9"/>
        <w:tblW w:w="8939" w:type="dxa"/>
        <w:tblInd w:w="139" w:type="dxa"/>
        <w:tblLayout w:type="fixed"/>
        <w:tblCellMar>
          <w:top w:w="0" w:type="dxa"/>
          <w:left w:w="108" w:type="dxa"/>
          <w:bottom w:w="0" w:type="dxa"/>
          <w:right w:w="108" w:type="dxa"/>
        </w:tblCellMar>
      </w:tblPr>
      <w:tblGrid>
        <w:gridCol w:w="8939"/>
      </w:tblGrid>
      <w:tr w14:paraId="111D8E6C">
        <w:tblPrEx>
          <w:tblCellMar>
            <w:top w:w="0" w:type="dxa"/>
            <w:left w:w="108" w:type="dxa"/>
            <w:bottom w:w="0" w:type="dxa"/>
            <w:right w:w="108" w:type="dxa"/>
          </w:tblCellMar>
        </w:tblPrEx>
        <w:trPr>
          <w:trHeight w:val="683" w:hRule="atLeast"/>
        </w:trPr>
        <w:tc>
          <w:tcPr>
            <w:tcW w:w="8939" w:type="dxa"/>
            <w:tcBorders>
              <w:top w:val="single" w:color="000000" w:sz="2" w:space="0"/>
              <w:left w:val="single" w:color="000000" w:sz="2" w:space="0"/>
              <w:bottom w:val="single" w:color="000000" w:sz="2" w:space="0"/>
              <w:right w:val="single" w:color="000000" w:sz="2" w:space="0"/>
            </w:tcBorders>
          </w:tcPr>
          <w:p w14:paraId="742BEA10">
            <w:pPr>
              <w:pStyle w:val="8"/>
              <w:keepNext w:val="0"/>
              <w:keepLines w:val="0"/>
              <w:pageBreakBefore w:val="0"/>
              <w:widowControl w:val="0"/>
              <w:kinsoku/>
              <w:wordWrap/>
              <w:overflowPunct/>
              <w:topLinePunct w:val="0"/>
              <w:autoSpaceDE/>
              <w:autoSpaceDN/>
              <w:bidi w:val="0"/>
              <w:adjustRightInd w:val="0"/>
              <w:snapToGrid w:val="0"/>
              <w:spacing w:before="0" w:beforeAutospacing="0" w:after="0" w:line="360" w:lineRule="exact"/>
              <w:jc w:val="center"/>
              <w:textAlignment w:val="auto"/>
              <w:outlineLvl w:val="9"/>
              <w:rPr>
                <w:rFonts w:hint="eastAsia" w:ascii="仿宋_GB2312" w:hAnsi="仿宋_GB2312" w:eastAsia="仿宋_GB2312" w:cs="仿宋_GB2312"/>
                <w:color w:val="000000" w:themeColor="text1"/>
                <w:lang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SA"/>
                <w14:textFill>
                  <w14:solidFill>
                    <w14:schemeClr w14:val="tx1"/>
                  </w14:solidFill>
                </w14:textFill>
              </w:rPr>
              <w:t>专栏5  广西大震震源探查示范工程</w:t>
            </w:r>
          </w:p>
        </w:tc>
      </w:tr>
      <w:tr w14:paraId="5AD541AC">
        <w:tblPrEx>
          <w:tblCellMar>
            <w:top w:w="0" w:type="dxa"/>
            <w:left w:w="108" w:type="dxa"/>
            <w:bottom w:w="0" w:type="dxa"/>
            <w:right w:w="108" w:type="dxa"/>
          </w:tblCellMar>
        </w:tblPrEx>
        <w:trPr>
          <w:trHeight w:val="683" w:hRule="atLeast"/>
        </w:trPr>
        <w:tc>
          <w:tcPr>
            <w:tcW w:w="8939" w:type="dxa"/>
            <w:tcBorders>
              <w:top w:val="single" w:color="000000" w:sz="2" w:space="0"/>
              <w:left w:val="single" w:color="000000" w:sz="2" w:space="0"/>
              <w:bottom w:val="single" w:color="000000" w:sz="2" w:space="0"/>
              <w:right w:val="single" w:color="000000" w:sz="2" w:space="0"/>
            </w:tcBorders>
          </w:tcPr>
          <w:p w14:paraId="475CED71">
            <w:pPr>
              <w:pStyle w:val="8"/>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0" w:line="320" w:lineRule="exact"/>
              <w:jc w:val="both"/>
              <w:textAlignment w:val="auto"/>
              <w:outlineLvl w:val="9"/>
              <w:rPr>
                <w:rFonts w:hint="eastAsia" w:ascii="仿宋_GB2312" w:hAnsi="仿宋_GB2312" w:eastAsia="仿宋_GB2312" w:cs="仿宋_GB2312"/>
                <w:bCs/>
                <w:color w:val="000000" w:themeColor="text1"/>
                <w:lang w:bidi="ar"/>
                <w14:textFill>
                  <w14:solidFill>
                    <w14:schemeClr w14:val="tx1"/>
                  </w14:solidFill>
                </w14:textFill>
              </w:rPr>
            </w:pPr>
            <w:r>
              <w:rPr>
                <w:rFonts w:hint="eastAsia" w:ascii="仿宋_GB2312" w:hAnsi="仿宋_GB2312" w:eastAsia="仿宋_GB2312" w:cs="仿宋_GB2312"/>
                <w:b/>
                <w:bCs w:val="0"/>
                <w:color w:val="000000" w:themeColor="text1"/>
                <w:lang w:bidi="ar"/>
                <w14:textFill>
                  <w14:solidFill>
                    <w14:schemeClr w14:val="tx1"/>
                  </w14:solidFill>
                </w14:textFill>
              </w:rPr>
              <w:t>广西主要断裂带地震构造环境探查工程。</w:t>
            </w:r>
            <w:r>
              <w:rPr>
                <w:rFonts w:hint="eastAsia" w:ascii="仿宋_GB2312" w:hAnsi="仿宋_GB2312" w:eastAsia="仿宋_GB2312" w:cs="仿宋_GB2312"/>
                <w:bCs/>
                <w:color w:val="000000" w:themeColor="text1"/>
                <w:lang w:bidi="ar"/>
                <w14:textFill>
                  <w14:solidFill>
                    <w14:schemeClr w14:val="tx1"/>
                  </w14:solidFill>
                </w14:textFill>
              </w:rPr>
              <w:t>完成百色—合浦断裂带（隆安至田阳段）、合浦—北流断裂带（博白段和合浦段）、桂林</w:t>
            </w:r>
            <w:r>
              <w:rPr>
                <w:rFonts w:hint="eastAsia" w:ascii="仿宋_GB2312" w:hAnsi="仿宋_GB2312" w:eastAsia="仿宋_GB2312" w:cs="仿宋_GB2312"/>
                <w:bCs/>
                <w:color w:val="000000" w:themeColor="text1"/>
                <w:lang w:eastAsia="zh-CN" w:bidi="ar"/>
                <w14:textFill>
                  <w14:solidFill>
                    <w14:schemeClr w14:val="tx1"/>
                  </w14:solidFill>
                </w14:textFill>
              </w:rPr>
              <w:t>－</w:t>
            </w:r>
            <w:r>
              <w:rPr>
                <w:rFonts w:hint="eastAsia" w:ascii="仿宋_GB2312" w:hAnsi="仿宋_GB2312" w:eastAsia="仿宋_GB2312" w:cs="仿宋_GB2312"/>
                <w:bCs/>
                <w:color w:val="000000" w:themeColor="text1"/>
                <w:lang w:bidi="ar"/>
                <w14:textFill>
                  <w14:solidFill>
                    <w14:schemeClr w14:val="tx1"/>
                  </w14:solidFill>
                </w14:textFill>
              </w:rPr>
              <w:t>南宁断裂带（柳州段和南宁段）等主要地震构造环境探查，构建广西重点地区三维地震构造模型。</w:t>
            </w:r>
          </w:p>
          <w:p w14:paraId="447334A0">
            <w:pPr>
              <w:pStyle w:val="8"/>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0" w:line="320" w:lineRule="exact"/>
              <w:jc w:val="both"/>
              <w:textAlignment w:val="auto"/>
              <w:outlineLvl w:val="9"/>
              <w:rPr>
                <w:rFonts w:hint="eastAsia" w:ascii="仿宋_GB2312" w:hAnsi="仿宋_GB2312" w:eastAsia="仿宋_GB2312" w:cs="仿宋_GB2312"/>
                <w:bCs/>
                <w:color w:val="000000" w:themeColor="text1"/>
                <w:lang w:bidi="ar"/>
                <w14:textFill>
                  <w14:solidFill>
                    <w14:schemeClr w14:val="tx1"/>
                  </w14:solidFill>
                </w14:textFill>
              </w:rPr>
            </w:pPr>
            <w:r>
              <w:rPr>
                <w:rFonts w:hint="eastAsia" w:ascii="仿宋_GB2312" w:hAnsi="仿宋_GB2312" w:eastAsia="仿宋_GB2312" w:cs="仿宋_GB2312"/>
                <w:b/>
                <w:bCs w:val="0"/>
                <w:color w:val="000000" w:themeColor="text1"/>
                <w:lang w:bidi="ar"/>
                <w14:textFill>
                  <w14:solidFill>
                    <w14:schemeClr w14:val="tx1"/>
                  </w14:solidFill>
                </w14:textFill>
              </w:rPr>
              <w:t>北部湾近海海域地震构造探查工程。</w:t>
            </w:r>
            <w:r>
              <w:rPr>
                <w:rFonts w:hint="eastAsia" w:ascii="仿宋_GB2312" w:hAnsi="仿宋_GB2312" w:eastAsia="仿宋_GB2312" w:cs="仿宋_GB2312"/>
                <w:bCs/>
                <w:color w:val="000000" w:themeColor="text1"/>
                <w:lang w:bidi="ar"/>
                <w14:textFill>
                  <w14:solidFill>
                    <w14:schemeClr w14:val="tx1"/>
                  </w14:solidFill>
                </w14:textFill>
              </w:rPr>
              <w:t>开展北部湾海域涠西南断裂带、乌石西断裂等海域地震构造探查。</w:t>
            </w:r>
          </w:p>
          <w:p w14:paraId="23205ED6">
            <w:pPr>
              <w:pStyle w:val="8"/>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0" w:line="320" w:lineRule="exact"/>
              <w:jc w:val="both"/>
              <w:textAlignment w:val="auto"/>
              <w:outlineLvl w:val="9"/>
              <w:rPr>
                <w:rFonts w:hint="eastAsia" w:ascii="仿宋_GB2312" w:hAnsi="仿宋_GB2312" w:eastAsia="仿宋_GB2312" w:cs="仿宋_GB2312"/>
                <w:bCs/>
                <w:color w:val="000000" w:themeColor="text1"/>
                <w:lang w:bidi="ar"/>
                <w14:textFill>
                  <w14:solidFill>
                    <w14:schemeClr w14:val="tx1"/>
                  </w14:solidFill>
                </w14:textFill>
              </w:rPr>
            </w:pPr>
            <w:r>
              <w:rPr>
                <w:rFonts w:hint="eastAsia" w:ascii="仿宋_GB2312" w:hAnsi="仿宋_GB2312" w:eastAsia="仿宋_GB2312" w:cs="仿宋_GB2312"/>
                <w:b/>
                <w:bCs w:val="0"/>
                <w:color w:val="000000" w:themeColor="text1"/>
                <w:lang w:bidi="ar"/>
                <w14:textFill>
                  <w14:solidFill>
                    <w14:schemeClr w14:val="tx1"/>
                  </w14:solidFill>
                </w14:textFill>
              </w:rPr>
              <w:t>重点城市活动断层探测工程。</w:t>
            </w:r>
            <w:r>
              <w:rPr>
                <w:rFonts w:hint="eastAsia" w:ascii="仿宋_GB2312" w:hAnsi="仿宋_GB2312" w:eastAsia="仿宋_GB2312" w:cs="仿宋_GB2312"/>
                <w:bCs/>
                <w:color w:val="000000" w:themeColor="text1"/>
                <w:lang w:bidi="ar"/>
                <w14:textFill>
                  <w14:solidFill>
                    <w14:schemeClr w14:val="tx1"/>
                  </w14:solidFill>
                </w14:textFill>
              </w:rPr>
              <w:t>开展南宁、柳州、玉林、百色以及平果等城市活动断层探测。</w:t>
            </w:r>
          </w:p>
          <w:p w14:paraId="58F00FFF">
            <w:pPr>
              <w:pStyle w:val="8"/>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0" w:line="320" w:lineRule="exact"/>
              <w:jc w:val="both"/>
              <w:textAlignment w:val="auto"/>
              <w:outlineLvl w:val="9"/>
              <w:rPr>
                <w:rFonts w:hint="eastAsia" w:ascii="仿宋_GB2312" w:hAnsi="仿宋_GB2312" w:eastAsia="仿宋_GB2312" w:cs="仿宋_GB2312"/>
                <w:bCs/>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lang w:bidi="ar"/>
                <w14:textFill>
                  <w14:solidFill>
                    <w14:schemeClr w14:val="tx1"/>
                  </w14:solidFill>
                </w14:textFill>
              </w:rPr>
              <w:t>建设广西震灾公共服务平台。</w:t>
            </w:r>
            <w:bookmarkStart w:id="161" w:name="OLE_LINK6"/>
            <w:r>
              <w:rPr>
                <w:rFonts w:hint="eastAsia" w:ascii="仿宋_GB2312" w:hAnsi="仿宋_GB2312" w:eastAsia="仿宋_GB2312" w:cs="仿宋_GB2312"/>
                <w:bCs/>
                <w:color w:val="000000" w:themeColor="text1"/>
                <w:lang w:bidi="ar"/>
                <w14:textFill>
                  <w14:solidFill>
                    <w14:schemeClr w14:val="tx1"/>
                  </w14:solidFill>
                </w14:textFill>
              </w:rPr>
              <w:t>改建</w:t>
            </w:r>
            <w:bookmarkEnd w:id="161"/>
            <w:r>
              <w:rPr>
                <w:rFonts w:hint="eastAsia" w:ascii="仿宋_GB2312" w:hAnsi="仿宋_GB2312" w:eastAsia="仿宋_GB2312" w:cs="仿宋_GB2312"/>
                <w:bCs/>
                <w:color w:val="000000" w:themeColor="text1"/>
                <w:lang w:bidi="ar"/>
                <w14:textFill>
                  <w14:solidFill>
                    <w14:schemeClr w14:val="tx1"/>
                  </w14:solidFill>
                </w14:textFill>
              </w:rPr>
              <w:t>包括数据综合展示区、数据中心机房、数据处理工作室、震情保障室、震情会商室等。建设震防基础数据库、震防基础业务集成技术与服务平台。</w:t>
            </w:r>
          </w:p>
          <w:p w14:paraId="7A81F8F9">
            <w:pPr>
              <w:pStyle w:val="8"/>
              <w:keepNext w:val="0"/>
              <w:keepLines w:val="0"/>
              <w:pageBreakBefore w:val="0"/>
              <w:widowControl w:val="0"/>
              <w:numPr>
                <w:ilvl w:val="255"/>
                <w:numId w:val="0"/>
              </w:numPr>
              <w:kinsoku/>
              <w:wordWrap/>
              <w:overflowPunct/>
              <w:topLinePunct w:val="0"/>
              <w:autoSpaceDE/>
              <w:autoSpaceDN/>
              <w:bidi w:val="0"/>
              <w:adjustRightInd/>
              <w:snapToGrid/>
              <w:spacing w:before="0" w:beforeAutospacing="0" w:after="0" w:line="320" w:lineRule="exact"/>
              <w:jc w:val="both"/>
              <w:textAlignment w:val="auto"/>
              <w:outlineLvl w:val="9"/>
              <w:rPr>
                <w:rFonts w:hint="eastAsia" w:ascii="仿宋_GB2312" w:hAnsi="仿宋_GB2312" w:eastAsia="仿宋_GB2312" w:cs="仿宋_GB2312"/>
                <w:color w:val="000000" w:themeColor="text1"/>
                <w:lang w:bidi="ar"/>
                <w14:textFill>
                  <w14:solidFill>
                    <w14:schemeClr w14:val="tx1"/>
                  </w14:solidFill>
                </w14:textFill>
              </w:rPr>
            </w:pPr>
            <w:r>
              <w:rPr>
                <w:rFonts w:hint="eastAsia" w:ascii="仿宋_GB2312" w:hAnsi="仿宋_GB2312" w:eastAsia="仿宋_GB2312" w:cs="仿宋_GB2312"/>
                <w:b/>
                <w:color w:val="000000" w:themeColor="text1"/>
                <w:lang w:bidi="ar"/>
                <w14:textFill>
                  <w14:solidFill>
                    <w14:schemeClr w14:val="tx1"/>
                  </w14:solidFill>
                </w14:textFill>
              </w:rPr>
              <w:t>建设广西</w:t>
            </w:r>
            <w:bookmarkStart w:id="162" w:name="OLE_LINK7"/>
            <w:r>
              <w:rPr>
                <w:rFonts w:hint="eastAsia" w:ascii="仿宋_GB2312" w:hAnsi="仿宋_GB2312" w:eastAsia="仿宋_GB2312" w:cs="仿宋_GB2312"/>
                <w:b/>
                <w:color w:val="000000" w:themeColor="text1"/>
                <w:lang w:bidi="ar"/>
                <w14:textFill>
                  <w14:solidFill>
                    <w14:schemeClr w14:val="tx1"/>
                  </w14:solidFill>
                </w14:textFill>
              </w:rPr>
              <w:t>地震灾害风险防治实验室</w:t>
            </w:r>
            <w:bookmarkEnd w:id="162"/>
            <w:r>
              <w:rPr>
                <w:rFonts w:hint="eastAsia" w:ascii="仿宋_GB2312" w:hAnsi="仿宋_GB2312" w:eastAsia="仿宋_GB2312" w:cs="仿宋_GB2312"/>
                <w:b/>
                <w:color w:val="000000" w:themeColor="text1"/>
                <w:lang w:bidi="ar"/>
                <w14:textFill>
                  <w14:solidFill>
                    <w14:schemeClr w14:val="tx1"/>
                  </w14:solidFill>
                </w14:textFill>
              </w:rPr>
              <w:t>。</w:t>
            </w:r>
            <w:r>
              <w:rPr>
                <w:rFonts w:hint="eastAsia" w:ascii="仿宋_GB2312" w:hAnsi="仿宋_GB2312" w:eastAsia="仿宋_GB2312" w:cs="仿宋_GB2312"/>
                <w:bCs/>
                <w:color w:val="000000" w:themeColor="text1"/>
                <w:lang w:bidi="ar"/>
                <w14:textFill>
                  <w14:solidFill>
                    <w14:schemeClr w14:val="tx1"/>
                  </w14:solidFill>
                </w14:textFill>
              </w:rPr>
              <w:t>改建包括探查设备运维区、数据汇集分析处理区、技术研发区等。建设节点地震仪、探查数据处理、无人机与遥感解译等系统。</w:t>
            </w:r>
          </w:p>
        </w:tc>
      </w:tr>
    </w:tbl>
    <w:p w14:paraId="445D2A0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楷体_GBK" w:hAnsi="方正楷体_GBK" w:eastAsia="方正楷体_GBK" w:cs="方正楷体_GBK"/>
          <w:sz w:val="32"/>
          <w:szCs w:val="32"/>
        </w:rPr>
      </w:pPr>
      <w:bookmarkStart w:id="163" w:name="_Toc221202174"/>
      <w:r>
        <w:rPr>
          <w:rFonts w:hint="eastAsia" w:ascii="方正楷体_GBK" w:hAnsi="方正楷体_GBK" w:eastAsia="方正楷体_GBK" w:cs="方正楷体_GBK"/>
          <w:sz w:val="32"/>
          <w:szCs w:val="32"/>
        </w:rPr>
        <w:t>（二）北部湾城市群大震巨灾韧性提升工程</w:t>
      </w:r>
      <w:bookmarkEnd w:id="163"/>
    </w:p>
    <w:p w14:paraId="11AF6266">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开展重要建（构）筑物隐患排查，建立隐患清单；开展城市抗震韧性综合评估；建设重大基础设施地震风险监测预警平台。</w:t>
      </w:r>
    </w:p>
    <w:tbl>
      <w:tblPr>
        <w:tblStyle w:val="9"/>
        <w:tblW w:w="9076"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76"/>
      </w:tblGrid>
      <w:tr w14:paraId="0909B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9076" w:type="dxa"/>
            <w:vAlign w:val="center"/>
          </w:tcPr>
          <w:p w14:paraId="65CAC0C0">
            <w:pPr>
              <w:adjustRightInd w:val="0"/>
              <w:snapToGrid w:val="0"/>
              <w:spacing w:line="44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bidi="ar"/>
                <w14:textFill>
                  <w14:solidFill>
                    <w14:schemeClr w14:val="tx1"/>
                  </w14:solidFill>
                </w14:textFill>
              </w:rPr>
              <w:t>专</w:t>
            </w:r>
            <w:r>
              <w:rPr>
                <w:rFonts w:hint="eastAsia" w:ascii="仿宋_GB2312" w:hAnsi="仿宋_GB2312" w:eastAsia="仿宋_GB2312" w:cs="仿宋_GB2312"/>
                <w:color w:val="000000" w:themeColor="text1"/>
                <w:sz w:val="24"/>
                <w:szCs w:val="24"/>
                <w:lang w:bidi="ar"/>
                <w14:textFill>
                  <w14:solidFill>
                    <w14:schemeClr w14:val="tx1"/>
                  </w14:solidFill>
                </w14:textFill>
              </w:rPr>
              <w:t>栏6 北部湾城市群大震巨灾韧性提升工程</w:t>
            </w:r>
          </w:p>
        </w:tc>
      </w:tr>
      <w:tr w14:paraId="16003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076" w:type="dxa"/>
          </w:tcPr>
          <w:p w14:paraId="3F9D33ED">
            <w:pPr>
              <w:pStyle w:val="8"/>
              <w:numPr>
                <w:ilvl w:val="255"/>
                <w:numId w:val="0"/>
              </w:numPr>
              <w:spacing w:after="0" w:line="440" w:lineRule="exact"/>
              <w:rPr>
                <w:rFonts w:hint="eastAsia" w:ascii="仿宋_GB2312" w:hAnsi="仿宋_GB2312" w:eastAsia="仿宋_GB2312" w:cs="仿宋_GB2312"/>
                <w:bCs/>
                <w:color w:val="000000" w:themeColor="text1"/>
                <w:sz w:val="24"/>
                <w:szCs w:val="24"/>
                <w:lang w:bidi="ar"/>
                <w14:textFill>
                  <w14:solidFill>
                    <w14:schemeClr w14:val="tx1"/>
                  </w14:solidFill>
                </w14:textFill>
              </w:rPr>
            </w:pPr>
            <w:r>
              <w:rPr>
                <w:rFonts w:hint="eastAsia" w:ascii="仿宋_GB2312" w:hAnsi="仿宋_GB2312" w:eastAsia="仿宋_GB2312" w:cs="仿宋_GB2312"/>
                <w:b/>
                <w:color w:val="000000" w:themeColor="text1"/>
                <w:sz w:val="24"/>
                <w:szCs w:val="24"/>
                <w:lang w:bidi="ar"/>
                <w14:textFill>
                  <w14:solidFill>
                    <w14:schemeClr w14:val="tx1"/>
                  </w14:solidFill>
                </w14:textFill>
              </w:rPr>
              <w:t>重要建构筑物隐患排查工程</w:t>
            </w:r>
            <w:r>
              <w:rPr>
                <w:rFonts w:hint="eastAsia" w:ascii="仿宋_GB2312" w:hAnsi="仿宋_GB2312" w:eastAsia="仿宋_GB2312" w:cs="仿宋_GB2312"/>
                <w:bCs/>
                <w:color w:val="000000" w:themeColor="text1"/>
                <w:sz w:val="24"/>
                <w:szCs w:val="24"/>
                <w:lang w:bidi="ar"/>
                <w14:textFill>
                  <w14:solidFill>
                    <w14:schemeClr w14:val="tx1"/>
                  </w14:solidFill>
                </w14:textFill>
              </w:rPr>
              <w:t>。以学校、医院、危化企业、社会服务保障设施、重要基础设施等领域为重点排查对象，开展地震风险隐患和次生灾害排查工作。</w:t>
            </w:r>
          </w:p>
          <w:p w14:paraId="5CDC1C57">
            <w:pPr>
              <w:pStyle w:val="8"/>
              <w:numPr>
                <w:ilvl w:val="255"/>
                <w:numId w:val="0"/>
              </w:numPr>
              <w:spacing w:line="440" w:lineRule="exact"/>
              <w:rPr>
                <w:rFonts w:hint="eastAsia" w:ascii="仿宋_GB2312" w:hAnsi="仿宋_GB2312" w:eastAsia="仿宋_GB2312" w:cs="仿宋_GB2312"/>
                <w:bCs/>
                <w:color w:val="000000" w:themeColor="text1"/>
                <w:sz w:val="24"/>
                <w:szCs w:val="24"/>
                <w:lang w:bidi="ar"/>
                <w14:textFill>
                  <w14:solidFill>
                    <w14:schemeClr w14:val="tx1"/>
                  </w14:solidFill>
                </w14:textFill>
              </w:rPr>
            </w:pPr>
            <w:r>
              <w:rPr>
                <w:rFonts w:hint="eastAsia" w:ascii="仿宋_GB2312" w:hAnsi="仿宋_GB2312" w:eastAsia="仿宋_GB2312" w:cs="仿宋_GB2312"/>
                <w:b/>
                <w:color w:val="000000" w:themeColor="text1"/>
                <w:sz w:val="24"/>
                <w:szCs w:val="24"/>
                <w:lang w:bidi="ar"/>
                <w14:textFill>
                  <w14:solidFill>
                    <w14:schemeClr w14:val="tx1"/>
                  </w14:solidFill>
                </w14:textFill>
              </w:rPr>
              <w:t>重大基础设施地震风险监测预警工程</w:t>
            </w:r>
            <w:r>
              <w:rPr>
                <w:rFonts w:hint="eastAsia" w:ascii="仿宋_GB2312" w:hAnsi="仿宋_GB2312" w:eastAsia="仿宋_GB2312" w:cs="仿宋_GB2312"/>
                <w:bCs/>
                <w:color w:val="000000" w:themeColor="text1"/>
                <w:sz w:val="24"/>
                <w:szCs w:val="24"/>
                <w:lang w:bidi="ar"/>
                <w14:textFill>
                  <w14:solidFill>
                    <w14:schemeClr w14:val="tx1"/>
                  </w14:solidFill>
                </w14:textFill>
              </w:rPr>
              <w:t>。针对特大桥梁、超高层建筑、发射塔、体育场馆、文化场馆、大型商场等选择50座重要基础设施，建设地震灾害评估与情景仿真等技术平台。</w:t>
            </w:r>
          </w:p>
          <w:p w14:paraId="296D530F">
            <w:pPr>
              <w:widowControl/>
              <w:numPr>
                <w:ilvl w:val="255"/>
                <w:numId w:val="0"/>
              </w:numPr>
              <w:spacing w:line="440" w:lineRule="exact"/>
              <w:jc w:val="left"/>
              <w:rPr>
                <w:rFonts w:hint="eastAsia" w:ascii="仿宋_GB2312" w:hAnsi="仿宋_GB2312" w:eastAsia="仿宋_GB2312" w:cs="仿宋_GB2312"/>
                <w:bCs/>
                <w:color w:val="000000" w:themeColor="text1"/>
                <w:kern w:val="0"/>
                <w:sz w:val="24"/>
                <w:szCs w:val="24"/>
                <w:lang w:bidi="ar"/>
                <w14:textFill>
                  <w14:solidFill>
                    <w14:schemeClr w14:val="tx1"/>
                  </w14:solidFill>
                </w14:textFill>
              </w:rPr>
            </w:pPr>
            <w:bookmarkStart w:id="164" w:name="OLE_LINK1"/>
            <w:r>
              <w:rPr>
                <w:rFonts w:hint="eastAsia" w:ascii="仿宋_GB2312" w:hAnsi="仿宋_GB2312" w:eastAsia="仿宋_GB2312" w:cs="仿宋_GB2312"/>
                <w:b/>
                <w:color w:val="000000" w:themeColor="text1"/>
                <w:kern w:val="0"/>
                <w:sz w:val="24"/>
                <w:szCs w:val="24"/>
                <w:lang w:bidi="ar"/>
                <w14:textFill>
                  <w14:solidFill>
                    <w14:schemeClr w14:val="tx1"/>
                  </w14:solidFill>
                </w14:textFill>
              </w:rPr>
              <w:t>城市抗震韧性综合评估</w:t>
            </w:r>
            <w:bookmarkEnd w:id="164"/>
            <w:r>
              <w:rPr>
                <w:rFonts w:hint="eastAsia" w:ascii="仿宋_GB2312" w:hAnsi="仿宋_GB2312" w:eastAsia="仿宋_GB2312" w:cs="仿宋_GB2312"/>
                <w:b/>
                <w:color w:val="000000" w:themeColor="text1"/>
                <w:kern w:val="0"/>
                <w:sz w:val="24"/>
                <w:szCs w:val="24"/>
                <w:lang w:bidi="ar"/>
                <w14:textFill>
                  <w14:solidFill>
                    <w14:schemeClr w14:val="tx1"/>
                  </w14:solidFill>
                </w14:textFill>
              </w:rPr>
              <w:t>工程</w:t>
            </w:r>
            <w:r>
              <w:rPr>
                <w:rFonts w:hint="eastAsia" w:ascii="仿宋_GB2312" w:hAnsi="仿宋_GB2312" w:eastAsia="仿宋_GB2312" w:cs="仿宋_GB2312"/>
                <w:bCs/>
                <w:color w:val="000000" w:themeColor="text1"/>
                <w:kern w:val="0"/>
                <w:sz w:val="24"/>
                <w:szCs w:val="24"/>
                <w:lang w:bidi="ar"/>
                <w14:textFill>
                  <w14:solidFill>
                    <w14:schemeClr w14:val="tx1"/>
                  </w14:solidFill>
                </w14:textFill>
              </w:rPr>
              <w:t>。构建北部湾城市群抗震韧性评估指标体系，开展北部湾城市群承灾体抗震韧性、抗震防灾能力、震后恢复重建韧性和次生灾害防控韧性等评估工作，给出城市抗震薄弱环节和等级评定，制定北部湾城市群抗震加固、设施升级、机制完善等专项方案。</w:t>
            </w:r>
          </w:p>
        </w:tc>
      </w:tr>
      <w:bookmarkEnd w:id="156"/>
      <w:bookmarkEnd w:id="157"/>
    </w:tbl>
    <w:p w14:paraId="4A5928D9">
      <w:pPr>
        <w:keepNext w:val="0"/>
        <w:keepLines w:val="0"/>
        <w:pageBreakBefore w:val="0"/>
        <w:widowControl w:val="0"/>
        <w:kinsoku/>
        <w:wordWrap/>
        <w:overflowPunct/>
        <w:topLinePunct w:val="0"/>
        <w:autoSpaceDE/>
        <w:autoSpaceDN/>
        <w:bidi w:val="0"/>
        <w:adjustRightInd/>
        <w:snapToGrid/>
        <w:spacing w:after="0" w:line="240" w:lineRule="exact"/>
        <w:textAlignment w:val="auto"/>
        <w:outlineLvl w:val="9"/>
        <w:rPr>
          <w:lang w:bidi="ar"/>
        </w:rPr>
      </w:pPr>
      <w:bookmarkStart w:id="165" w:name="bookmark16"/>
      <w:bookmarkEnd w:id="165"/>
      <w:bookmarkStart w:id="166" w:name="bookmark34"/>
      <w:bookmarkEnd w:id="166"/>
      <w:bookmarkStart w:id="167" w:name="_Toc221202175"/>
      <w:bookmarkStart w:id="168" w:name="_Toc206236003"/>
      <w:bookmarkStart w:id="169" w:name="_Toc199376617"/>
    </w:p>
    <w:p w14:paraId="275D4046">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实施保障</w:t>
      </w:r>
      <w:bookmarkEnd w:id="167"/>
      <w:bookmarkEnd w:id="168"/>
      <w:bookmarkEnd w:id="169"/>
    </w:p>
    <w:p w14:paraId="01CE5B9C">
      <w:pPr>
        <w:pStyle w:val="2"/>
        <w:keepNext w:val="0"/>
        <w:keepLines w:val="0"/>
        <w:pageBreakBefore w:val="0"/>
        <w:widowControl w:val="0"/>
        <w:kinsoku/>
        <w:wordWrap/>
        <w:overflowPunct/>
        <w:topLinePunct w:val="0"/>
        <w:autoSpaceDE w:val="0"/>
        <w:autoSpaceDN w:val="0"/>
        <w:bidi w:val="0"/>
        <w:adjustRightInd w:val="0"/>
        <w:snapToGrid/>
        <w:spacing w:after="0" w:line="240" w:lineRule="exact"/>
        <w:textAlignment w:val="auto"/>
        <w:outlineLvl w:val="9"/>
        <w:rPr>
          <w:rFonts w:hint="eastAsia"/>
        </w:rPr>
      </w:pPr>
    </w:p>
    <w:p w14:paraId="27BB040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黑体_GBK" w:hAnsi="方正黑体_GBK" w:eastAsia="方正黑体_GBK" w:cs="方正黑体_GBK"/>
          <w:sz w:val="32"/>
          <w:szCs w:val="32"/>
        </w:rPr>
      </w:pPr>
      <w:bookmarkStart w:id="170" w:name="_Toc5544"/>
      <w:bookmarkEnd w:id="170"/>
      <w:bookmarkStart w:id="171" w:name="_Toc199376618"/>
      <w:bookmarkStart w:id="172" w:name="_Toc206236004"/>
      <w:bookmarkStart w:id="173" w:name="_Toc221202176"/>
      <w:bookmarkStart w:id="174" w:name="_Toc457228707"/>
      <w:r>
        <w:rPr>
          <w:rFonts w:hint="eastAsia" w:ascii="方正黑体_GBK" w:hAnsi="方正黑体_GBK" w:eastAsia="方正黑体_GBK" w:cs="方正黑体_GBK"/>
          <w:sz w:val="32"/>
          <w:szCs w:val="32"/>
        </w:rPr>
        <w:t>一、加强组织落实</w:t>
      </w:r>
      <w:bookmarkEnd w:id="171"/>
      <w:bookmarkEnd w:id="172"/>
      <w:bookmarkEnd w:id="173"/>
      <w:bookmarkEnd w:id="174"/>
    </w:p>
    <w:p w14:paraId="735F8C6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党对防震减灾工作的全面领导；区直各有关部门、市县政府要加强规划组织实施，按照本规划确定的主要目标任务，制定本地区防震减灾年度目标任务，推进本规划确定的主要任务和重大工程项目，保障规划目标和任务的完成。</w:t>
      </w:r>
    </w:p>
    <w:p w14:paraId="3D2E1412">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黑体_GBK" w:hAnsi="方正黑体_GBK" w:eastAsia="方正黑体_GBK" w:cs="方正黑体_GBK"/>
          <w:sz w:val="32"/>
          <w:szCs w:val="32"/>
        </w:rPr>
      </w:pPr>
      <w:bookmarkStart w:id="175" w:name="_Toc457228704"/>
      <w:bookmarkEnd w:id="175"/>
      <w:bookmarkStart w:id="176" w:name="_Toc4161"/>
      <w:bookmarkEnd w:id="176"/>
      <w:bookmarkStart w:id="177" w:name="_Toc206236005"/>
      <w:bookmarkStart w:id="178" w:name="_Toc221202177"/>
      <w:bookmarkStart w:id="179" w:name="_Toc457228708"/>
      <w:bookmarkStart w:id="180" w:name="_Toc199376619"/>
      <w:r>
        <w:rPr>
          <w:rFonts w:hint="eastAsia" w:ascii="方正黑体_GBK" w:hAnsi="方正黑体_GBK" w:eastAsia="方正黑体_GBK" w:cs="方正黑体_GBK"/>
          <w:sz w:val="32"/>
          <w:szCs w:val="32"/>
        </w:rPr>
        <w:t>二、完善投入机制</w:t>
      </w:r>
      <w:bookmarkEnd w:id="177"/>
      <w:bookmarkEnd w:id="178"/>
      <w:bookmarkEnd w:id="179"/>
      <w:bookmarkEnd w:id="180"/>
    </w:p>
    <w:p w14:paraId="7E85A9A4">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全完善与经济社会发展水平、财力相适应的各级财政投入机制，鼓励引导社会资金投入，拓展防震减灾工作经费投入渠道；研究吃透用好用足国家政策，以努力补齐防震减灾工作短板为重点，紧紧围绕“十五五”时期中央资金和政策支持方向，积极争取中央防灾减灾专项资金更多支持。</w:t>
      </w:r>
    </w:p>
    <w:p w14:paraId="79A65C65">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黑体_GBK" w:hAnsi="方正黑体_GBK" w:eastAsia="方正黑体_GBK" w:cs="方正黑体_GBK"/>
          <w:sz w:val="32"/>
          <w:szCs w:val="32"/>
        </w:rPr>
      </w:pPr>
      <w:bookmarkStart w:id="181" w:name="_Toc10436"/>
      <w:bookmarkEnd w:id="181"/>
      <w:bookmarkStart w:id="182" w:name="_Toc206236006"/>
      <w:bookmarkStart w:id="183" w:name="_Toc199376620"/>
      <w:bookmarkStart w:id="184" w:name="_Toc221202178"/>
      <w:r>
        <w:rPr>
          <w:rFonts w:hint="eastAsia" w:ascii="方正黑体_GBK" w:hAnsi="方正黑体_GBK" w:eastAsia="方正黑体_GBK" w:cs="方正黑体_GBK"/>
          <w:sz w:val="32"/>
          <w:szCs w:val="32"/>
        </w:rPr>
        <w:t>三、强化人才支撑</w:t>
      </w:r>
      <w:bookmarkEnd w:id="182"/>
      <w:bookmarkEnd w:id="183"/>
      <w:bookmarkEnd w:id="184"/>
    </w:p>
    <w:p w14:paraId="54DCE69F">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人才队伍建设，建立灵活的人才引进、使用和管理机制，构建优秀人才梯队和创新团队，建立健全人才资源激励、评价和保障机制。以“十五五”重点工程项目建设为契机，实施地震人才工程、地震队伍素质提升计划，建设一支高素质实战化科技型接地气的干部人才队伍。</w:t>
      </w:r>
    </w:p>
    <w:p w14:paraId="4333023A">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方正黑体_GBK" w:hAnsi="方正黑体_GBK" w:eastAsia="方正黑体_GBK" w:cs="方正黑体_GBK"/>
          <w:sz w:val="32"/>
          <w:szCs w:val="32"/>
        </w:rPr>
      </w:pPr>
      <w:bookmarkStart w:id="185" w:name="_Toc457228709"/>
      <w:bookmarkEnd w:id="185"/>
      <w:bookmarkStart w:id="186" w:name="_Toc14276"/>
      <w:bookmarkStart w:id="187" w:name="_Toc199376621"/>
      <w:bookmarkStart w:id="188" w:name="_Toc206236007"/>
      <w:bookmarkStart w:id="189" w:name="_Toc221202179"/>
      <w:r>
        <w:rPr>
          <w:rFonts w:hint="eastAsia" w:ascii="方正黑体_GBK" w:hAnsi="方正黑体_GBK" w:eastAsia="方正黑体_GBK" w:cs="方正黑体_GBK"/>
          <w:sz w:val="32"/>
          <w:szCs w:val="32"/>
        </w:rPr>
        <w:t>四、</w:t>
      </w:r>
      <w:bookmarkEnd w:id="186"/>
      <w:r>
        <w:rPr>
          <w:rFonts w:hint="eastAsia" w:ascii="方正黑体_GBK" w:hAnsi="方正黑体_GBK" w:eastAsia="方正黑体_GBK" w:cs="方正黑体_GBK"/>
          <w:sz w:val="32"/>
          <w:szCs w:val="32"/>
        </w:rPr>
        <w:t>建立评估制度</w:t>
      </w:r>
      <w:bookmarkEnd w:id="187"/>
      <w:bookmarkEnd w:id="188"/>
      <w:bookmarkEnd w:id="189"/>
    </w:p>
    <w:p w14:paraId="3BF48BFD">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治区地震局要会同有关部门，围绕本规划主要目标指标、主要任务、重大工程项目进展情况进行调度，适时进行中期评估和总结评估，评估结果向自治区人民政府报告，评估情况向社会公布。需要对本规划进行调整时，由自治区地震局提出调整方案，报自治区人民政府批准。</w:t>
      </w:r>
    </w:p>
    <w:p w14:paraId="268356F3">
      <w:pPr>
        <w:keepNext w:val="0"/>
        <w:keepLines w:val="0"/>
        <w:pageBreakBefore w:val="0"/>
        <w:widowControl w:val="0"/>
        <w:kinsoku/>
        <w:wordWrap/>
        <w:overflowPunct/>
        <w:topLinePunct w:val="0"/>
        <w:autoSpaceDE/>
        <w:autoSpaceDN/>
        <w:bidi w:val="0"/>
        <w:adjustRightInd/>
        <w:snapToGrid/>
        <w:spacing w:after="0" w:line="600" w:lineRule="exact"/>
        <w:ind w:firstLine="640" w:firstLineChars="200"/>
        <w:textAlignment w:val="auto"/>
        <w:outlineLvl w:val="9"/>
        <w:rPr>
          <w:rFonts w:hint="eastAsia" w:ascii="仿宋_GB2312" w:hAnsi="仿宋_GB2312" w:eastAsia="仿宋_GB2312" w:cs="仿宋_GB2312"/>
          <w:sz w:val="32"/>
          <w:szCs w:val="32"/>
        </w:rPr>
      </w:pPr>
    </w:p>
    <w:sectPr>
      <w:footerReference r:id="rId7" w:type="default"/>
      <w:pgSz w:w="11906" w:h="16838"/>
      <w:pgMar w:top="2098" w:right="1474" w:bottom="1984" w:left="1587" w:header="850" w:footer="1276" w:gutter="0"/>
      <w:pgNumType w:fmt="decimal" w:start="1"/>
      <w:cols w:space="0" w:num="1"/>
      <w:rtlGutter w:val="0"/>
      <w:docGrid w:type="linesAndChars" w:linePitch="579" w:charSpace="1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Calibri Light">
    <w:altName w:val="Calibri"/>
    <w:panose1 w:val="020F0302020204030204"/>
    <w:charset w:val="00"/>
    <w:family w:val="auto"/>
    <w:pitch w:val="default"/>
    <w:sig w:usb0="00000000" w:usb1="00000000"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方正小标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D5CE8">
    <w:pPr>
      <w:pStyle w:val="4"/>
      <w:ind w:right="360"/>
      <w:jc w:val="both"/>
      <w:rPr>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264722" name="文本框 192647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5AD48"/>
                      </w:txbxContent>
                    </wps:txbx>
                    <wps:bodyPr wrap="square" upright="1"/>
                  </wps:wsp>
                </a:graphicData>
              </a:graphic>
            </wp:anchor>
          </w:drawing>
        </mc:Choice>
        <mc:Fallback>
          <w:pict>
            <v:shape id="_x0000_s1026" o:spid="_x0000_s1026" o:spt="202" type="#_x0000_t202" style="position:absolute;left:0pt;margin-top:0pt;height:144pt;width:144pt;mso-position-horizontal:outside;mso-position-horizontal-relative:margin;z-index:251659264;mso-width-relative:page;mso-height-relative:page;" filled="f" stroked="f" coordsize="21600,21600" o:gfxdata="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DQZ&#10;tsbQAAAABQEAAA8AAAAAAAAAAQAgAAAAIgAAAGRycy9kb3ducmV2LnhtbFBLAQIUABQAAAAIAIdO&#10;4kDW/Od4uQEAAGsDAAAOAAAAAAAAAAEAIAAAAB8BAABkcnMvZTJvRG9jLnhtbFBLBQYAAAAABgAG&#10;AFkBAABKBQAAAAA=&#10;">
              <v:fill on="f" focussize="0,0"/>
              <v:stroke on="f"/>
              <v:imagedata o:title=""/>
              <o:lock v:ext="edit" aspectratio="f"/>
              <v:textbox>
                <w:txbxContent>
                  <w:p w14:paraId="6745AD48"/>
                </w:txbxContent>
              </v:textbox>
            </v:shape>
          </w:pict>
        </mc:Fallback>
      </mc:AlternateContent>
    </w:r>
    <w:r>
      <w:rPr>
        <w:rFonts w:hint="eastAsia"/>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D7A44">
    <w:pPr>
      <w:pStyle w:val="4"/>
      <w:ind w:right="360"/>
      <w:jc w:val="both"/>
      <w:rPr>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48435752" name="文本框 13484357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487847"/>
                      </w:txbxContent>
                    </wps:txbx>
                    <wps:bodyPr wrap="square" upright="1"/>
                  </wps:wsp>
                </a:graphicData>
              </a:graphic>
            </wp:anchor>
          </w:drawing>
        </mc:Choice>
        <mc:Fallback>
          <w:pict>
            <v:shape id="_x0000_s1026" o:spid="_x0000_s1026" o:spt="202" type="#_x0000_t202" style="position:absolute;left:0pt;margin-top:0pt;height:144pt;width:144pt;mso-position-horizontal:outside;mso-position-horizontal-relative:margin;z-index:251660288;mso-width-relative:page;mso-height-relative:page;" filled="f" stroked="f" coordsize="21600,21600" o:gfxdata="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DQZtsbQAAAABQEAAA8AAAAAAAAAAQAgAAAAIgAAAGRycy9kb3ducmV2LnhtbFBLAQIUABQAAAAI&#10;AIdO4kA3hR/FvAEAAG8DAAAOAAAAAAAAAAEAIAAAAB8BAABkcnMvZTJvRG9jLnhtbFBLBQYAAAAA&#10;BgAGAFkBAABNBQAAAAA=&#10;">
              <v:fill on="f" focussize="0,0"/>
              <v:stroke on="f"/>
              <v:imagedata o:title=""/>
              <o:lock v:ext="edit" aspectratio="f"/>
              <v:textbox>
                <w:txbxContent>
                  <w:p w14:paraId="7A487847"/>
                </w:txbxContent>
              </v:textbox>
            </v:shape>
          </w:pict>
        </mc:Fallback>
      </mc:AlternateContent>
    </w:r>
    <w:r>
      <w:rPr>
        <w:rFonts w:hint="eastAsia"/>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E6E14">
    <w:pPr>
      <w:pStyle w:val="4"/>
      <w:wordWrap w:val="0"/>
      <w:jc w:val="right"/>
      <w:rPr>
        <w:rFonts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354D7D">
                          <w:pPr>
                            <w:pStyle w:val="4"/>
                            <w:rPr>
                              <w:rFonts w:hint="eastAsia" w:eastAsia="FangSong_GB2312"/>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5354D7D">
                    <w:pPr>
                      <w:pStyle w:val="4"/>
                      <w:rPr>
                        <w:rFonts w:hint="eastAsia" w:eastAsia="FangSong_GB2312"/>
                        <w:lang w:eastAsia="zh-CN"/>
                      </w:rPr>
                    </w:pPr>
                    <w:r>
                      <w:rPr>
                        <w:rFonts w:hint="eastAsia"/>
                        <w:sz w:val="28"/>
                        <w:szCs w:val="28"/>
                        <w:lang w:eastAsia="zh-CN"/>
                      </w:rPr>
                      <w:t>—</w:t>
                    </w:r>
                    <w:r>
                      <w:rPr>
                        <w:rFonts w:hint="eastAsia"/>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HorizontalSpacing w:val="105"/>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A0874"/>
    <w:rsid w:val="00283F48"/>
    <w:rsid w:val="04A66C12"/>
    <w:rsid w:val="4D780DC3"/>
    <w:rsid w:val="6C655162"/>
    <w:rsid w:val="7581205D"/>
    <w:rsid w:val="7B9A0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FangSong_GB2312" w:cs="Times New Roman"/>
      <w:kern w:val="2"/>
      <w:sz w:val="21"/>
      <w:szCs w:val="3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after="160" w:line="278" w:lineRule="auto"/>
    </w:pPr>
    <w:rPr>
      <w:rFonts w:ascii="Times New Roman" w:hAnsi="Times New Roman" w:eastAsia="宋体" w:cs="Times New Roman"/>
      <w:color w:val="000000"/>
      <w:sz w:val="24"/>
      <w:szCs w:val="24"/>
      <w:lang w:val="en-US" w:eastAsia="zh-CN" w:bidi="ar-SA"/>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7">
    <w:name w:val="toc 2"/>
    <w:basedOn w:val="1"/>
    <w:next w:val="1"/>
    <w:unhideWhenUsed/>
    <w:qFormat/>
    <w:uiPriority w:val="39"/>
    <w:pPr>
      <w:widowControl/>
      <w:spacing w:after="100" w:line="259" w:lineRule="auto"/>
      <w:ind w:left="220"/>
      <w:jc w:val="left"/>
    </w:pPr>
    <w:rPr>
      <w:rFonts w:ascii="等线" w:hAnsi="等线" w:eastAsia="等线"/>
      <w:kern w:val="0"/>
      <w:sz w:val="22"/>
      <w:szCs w:val="22"/>
    </w:rPr>
  </w:style>
  <w:style w:type="paragraph" w:styleId="8">
    <w:name w:val="Normal (Web)"/>
    <w:basedOn w:val="1"/>
    <w:qFormat/>
    <w:uiPriority w:val="0"/>
    <w:pPr>
      <w:widowControl/>
      <w:spacing w:before="100" w:beforeAutospacing="1" w:after="119"/>
      <w:jc w:val="left"/>
    </w:pPr>
    <w:rPr>
      <w:rFonts w:ascii="宋体" w:hAnsi="宋体" w:eastAsia="宋体" w:cs="宋体"/>
      <w:kern w:val="0"/>
      <w:sz w:val="24"/>
      <w:szCs w:val="24"/>
    </w:rPr>
  </w:style>
  <w:style w:type="character" w:styleId="11">
    <w:name w:val="page number"/>
    <w:basedOn w:val="10"/>
    <w:qFormat/>
    <w:uiPriority w:val="0"/>
  </w:style>
  <w:style w:type="character" w:styleId="12">
    <w:name w:val="Hyperlink"/>
    <w:qFormat/>
    <w:uiPriority w:val="99"/>
    <w:rPr>
      <w:color w:val="0000FF"/>
      <w:u w:val="single"/>
    </w:rPr>
  </w:style>
  <w:style w:type="paragraph" w:customStyle="1" w:styleId="13">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4">
    <w:name w:val="_Style 47"/>
    <w:basedOn w:val="3"/>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de62affc-552f-4bcd-a5a2-8ba976fefb1f</errorID>
      <errorWord>与成果转换</errorWord>
      <group>L1_Word</group>
      <groupName>字词问题</groupName>
      <ability>L2_Typo</ability>
      <abilityName>字词错误</abilityName>
      <candidateList>
        <item>与成果转化</item>
      </candidateList>
      <explain/>
      <paraID>737F1B49</paraID>
      <start>238</start>
      <end>243</end>
      <status>modified</status>
      <modifiedWord>与成果转化</modifiedWord>
      <trackRevisions>false</trackRevisions>
    </reviewItem>
    <reviewItem>
      <errorID>37c77679-98b4-4041-806e-0c77a0ae856c</errorID>
      <errorWord>。</errorWord>
      <group>L1_Format</group>
      <groupName>格式问题</groupName>
      <ability>L2_HalfPunc_CN</ability>
      <abilityName/>
      <candidateList>
        <item>.</item>
      </candidateList>
      <explain>文本全半角错误。</explain>
      <paraID>5DF2A27A</paraID>
      <start>3</start>
      <end>4</end>
      <status>modified</status>
      <modifiedWord>.</modifiedWord>
      <trackRevisions>false</trackRevisions>
    </reviewItem>
    <reviewItem>
      <errorID>e0d98405-92cb-4464-8c18-93073b952d27</errorID>
      <errorWord>。</errorWord>
      <group>L1_Format</group>
      <groupName>格式问题</groupName>
      <ability>L2_HalfPunc_CN</ability>
      <abilityName/>
      <candidateList>
        <item>.</item>
      </candidateList>
      <explain>文本全半角错误。</explain>
      <paraID>55FF066B</paraID>
      <start>3</start>
      <end>4</end>
      <status>modified</status>
      <modifiedWord>.</modifiedWord>
      <trackRevisions>false</trackRevisions>
    </reviewItem>
    <reviewItem>
      <errorID>f50fb2c0-d4e1-4767-84f0-c432f390977b</errorID>
      <errorWord>中国-东盟</errorWord>
      <group>L1_Political</group>
      <groupName>政治性问题</groupName>
      <ability>L2_Unpolitical</ability>
      <abilityName>政治敏感错误</abilityName>
      <candidateList>
        <item>中国—东盟</item>
      </candidateList>
      <explain/>
      <paraID>55DF6F81</paraID>
      <start>89</start>
      <end>94</end>
      <status>modified</status>
      <modifiedWord>中国—东盟</modifiedWord>
      <trackRevisions>false</trackRevisions>
    </reviewItem>
    <reviewItem>
      <errorID>0945870c-a3e4-4e0d-b28d-f0cb293d90e0</errorID>
      <errorWord>,</errorWord>
      <group>L1_Format</group>
      <groupName>格式问题</groupName>
      <ability>L2_HalfPunc_CN</ability>
      <abilityName/>
      <candidateList>
        <item>，</item>
      </candidateList>
      <explain>文本全半角错误。</explain>
      <paraID>22EF2D0C</paraID>
      <start>74</start>
      <end>75</end>
      <status>modified</status>
      <modifiedWord>，</modifiedWord>
      <trackRevisions>false</trackRevisions>
    </reviewItem>
    <reviewItem>
      <errorID>c05ce8f2-b0cc-4753-b438-bad09297e7ce</errorID>
      <errorWord>中国-东盟</errorWord>
      <group>L1_Political</group>
      <groupName>政治性问题</groupName>
      <ability>L2_Unpolitical</ability>
      <abilityName>政治敏感错误</abilityName>
      <candidateList>
        <item>中国—东盟</item>
      </candidateList>
      <explain/>
      <paraID>161208BB</paraID>
      <start>5</start>
      <end>10</end>
      <status>modified</status>
      <modifiedWord>中国—东盟</modifiedWord>
      <trackRevisions>false</trackRevisions>
    </reviewItem>
    <reviewItem>
      <errorID>9bde8717-8e61-4946-be4f-d108c5b0ecc9</errorID>
      <errorWord>中国-东盟</errorWord>
      <group>L1_Political</group>
      <groupName>政治性问题</groupName>
      <ability>L2_Unpolitical</ability>
      <abilityName>政治敏感错误</abilityName>
      <candidateList>
        <item>中国—东盟</item>
      </candidateList>
      <explain/>
      <paraID>28562B78</paraID>
      <start>2</start>
      <end>7</end>
      <status>modified</status>
      <modifiedWord>中国—东盟</modifiedWord>
      <trackRevisions>false</trackRevisions>
    </reviewItem>
    <reviewItem>
      <errorID>f1370eae-7615-4177-922f-d8f99be695ed</errorID>
      <errorWord>中国-东盟</errorWord>
      <group>L1_Political</group>
      <groupName>政治性问题</groupName>
      <ability>L2_Unpolitical</ability>
      <abilityName>政治敏感错误</abilityName>
      <candidateList>
        <item>中国—东盟</item>
      </candidateList>
      <explain/>
      <paraID>4372ACB7</paraID>
      <start>4</start>
      <end>9</end>
      <status>modified</status>
      <modifiedWord>中国—东盟</modifiedWord>
      <trackRevisions>false</trackRevisions>
    </reviewItem>
    <reviewItem>
      <errorID>5627a3f4-2d31-47cd-a52b-bfdbdcde5f21</errorID>
      <errorWord>中国-东盟</errorWord>
      <group>L1_Political</group>
      <groupName>政治性问题</groupName>
      <ability>L2_Unpolitical</ability>
      <abilityName>政治敏感错误</abilityName>
      <candidateList>
        <item>中国—东盟</item>
      </candidateList>
      <explain/>
      <paraID>  9833BE</paraID>
      <start>2</start>
      <end>7</end>
      <status>modified</status>
      <modifiedWord>中国—东盟</modifiedWord>
      <trackRevisions>false</trackRevisions>
    </reviewItem>
    <reviewItem>
      <errorID>65cd5b2c-b6e7-428a-8578-870fc4423a45</errorID>
      <errorWord>中国-东盟</errorWord>
      <group>L1_Political</group>
      <groupName>政治性问题</groupName>
      <ability>L2_Unpolitical</ability>
      <abilityName>政治敏感错误</abilityName>
      <candidateList>
        <item>中国—东盟</item>
      </candidateList>
      <explain/>
      <paraID>7760B426</paraID>
      <start>41</start>
      <end>46</end>
      <status>modified</status>
      <modifiedWord>中国—东盟</modifiedWord>
      <trackRevisions>false</trackRevisions>
    </reviewItem>
    <reviewItem>
      <errorID>9b24781a-1203-482f-85ec-18a9ab6e12ae</errorID>
      <errorWord>中国-东盟</errorWord>
      <group>L1_Political</group>
      <groupName>政治性问题</groupName>
      <ability>L2_Unpolitical</ability>
      <abilityName>政治敏感错误</abilityName>
      <candidateList>
        <item>中国—东盟</item>
      </candidateList>
      <explain/>
      <paraID>41F43E6D</paraID>
      <start>4</start>
      <end>9</end>
      <status>modified</status>
      <modifiedWord>中国—东盟</modifiedWord>
      <trackRevisions>false</trackRevisions>
    </reviewItem>
    <reviewItem>
      <errorID>028e1807-bc9c-457b-ad44-2af3027c6082</errorID>
      <errorWord>中国-东盟</errorWord>
      <group>L1_Political</group>
      <groupName>政治性问题</groupName>
      <ability>L2_Unpolitical</ability>
      <abilityName>政治敏感错误</abilityName>
      <candidateList>
        <item>中国—东盟</item>
      </candidateList>
      <explain/>
      <paraID>1C8CC155</paraID>
      <start>2</start>
      <end>7</end>
      <status>modified</status>
      <modifiedWord>中国—东盟</modifiedWord>
      <trackRevisions>false</trackRevisions>
    </reviewItem>
    <reviewItem>
      <errorID>cc3005bc-9aba-4820-8a6b-76d5b25e88e9</errorID>
      <errorWord>，</errorWord>
      <group>L1_Word</group>
      <groupName>字词问题</groupName>
      <ability>L2_Typo</ability>
      <abilityName>字词错误</abilityName>
      <candidateList>
        <item>，以</item>
      </candidateList>
      <explain/>
      <paraID>5D82E0EB</paraID>
      <start>39</start>
      <end>40</end>
      <status>ignored</status>
      <modifiedWord/>
      <trackRevisions>false</trackRevisions>
    </reviewItem>
    <reviewItem>
      <errorID>a8c2da20-ed8a-4e72-b407-fdf524ee72a0</errorID>
      <errorWord>-</errorWord>
      <group>L1_Format</group>
      <groupName>格式问题</groupName>
      <ability>L2_HalfPunc_CN</ability>
      <abilityName/>
      <candidateList>
        <item>－</item>
      </candidateList>
      <explain>文本全半角错误。</explain>
      <paraID>475CED71</paraID>
      <start>57</start>
      <end>58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6307b-bb86-4312-ae4e-ac69a78d187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7591</Words>
  <Characters>7709</Characters>
  <Lines>0</Lines>
  <Paragraphs>0</Paragraphs>
  <TotalTime>7</TotalTime>
  <ScaleCrop>false</ScaleCrop>
  <LinksUpToDate>false</LinksUpToDate>
  <CharactersWithSpaces>7799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2026-06-12T00:24:00Z</dcterms:created>
  <dc:creator>Administrator</dc:creator>
  <cp:lastModifiedBy>嘉</cp:lastModifiedBy>
  <dcterms:modified xsi:type="dcterms:W3CDTF">2026-06-12T03:27:48Z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eyJoZGlkIjoiY2U2Mjg4YTg2N2QyNmI4YmQ3NDMxNjYwM2QyMTVmNTEiLCJ1c2VySWQiOiI3MTc0MjY2MjgifQ==</vt:lpwstr>
  </property>
  <property fmtid="{D5CDD505-2E9C-101B-9397-08002B2CF9AE}" pid="4" name="ICV">
    <vt:lpwstr>F79747A7FB43463897108D298C74A0D6_13</vt:lpwstr>
  </property>
</Properties>
</file>